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sz w:val="24"/>
          <w:szCs w:val="24"/>
        </w:rPr>
      </w:pPr>
      <w:r/>
      <w:bookmarkStart w:id="0" w:name="_Toc46743519"/>
      <w:r/>
      <w:bookmarkStart w:id="1" w:name="_Toc51339699"/>
      <w:r>
        <w:rPr>
          <w:sz w:val="24"/>
          <w:szCs w:val="24"/>
        </w:rPr>
        <w:t xml:space="preserve">Приложение № 2 </w:t>
      </w:r>
      <w:r>
        <w:rPr>
          <w:sz w:val="24"/>
          <w:szCs w:val="24"/>
        </w:rPr>
        <w:t xml:space="preserve">к Техническим требованиям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center"/>
        <w:spacing w:line="276" w:lineRule="auto"/>
        <w:shd w:val="clear" w:color="auto" w:fill="ffffff"/>
        <w:tabs>
          <w:tab w:val="left" w:pos="993" w:leader="none"/>
        </w:tabs>
        <w:rPr>
          <w:b/>
          <w:spacing w:val="-5"/>
          <w:sz w:val="24"/>
          <w:szCs w:val="24"/>
          <w:lang w:bidi="ru-RU"/>
        </w:rPr>
      </w:pPr>
      <w:r>
        <w:rPr>
          <w:b/>
          <w:spacing w:val="-5"/>
          <w:sz w:val="24"/>
          <w:szCs w:val="24"/>
          <w:lang w:bidi="ru-RU"/>
        </w:rPr>
      </w:r>
      <w:bookmarkEnd w:id="0"/>
      <w:r/>
      <w:bookmarkEnd w:id="1"/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</w:p>
    <w:p>
      <w:pPr>
        <w:jc w:val="center"/>
        <w:keepLines/>
        <w:keepNext/>
        <w:rPr>
          <w:b/>
          <w:bCs/>
        </w:rPr>
      </w:pPr>
      <w:r>
        <w:rPr>
          <w:b/>
        </w:rPr>
        <w:t xml:space="preserve">ОКПД2 </w:t>
      </w:r>
      <w:r>
        <w:rPr>
          <w:b/>
        </w:rPr>
        <w:t xml:space="preserve">43.29.11.140</w:t>
      </w:r>
      <w:r>
        <w:rPr>
          <w:b/>
        </w:rPr>
        <w:t xml:space="preserve"> Выполнение работ по покрытию кабельных трасс огнезащитным составом электрического цеха Нерюнгринской ГРЭС, г. Нерюнгри пос. Серебряный Бор»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keepLines/>
        <w:keepNext/>
      </w:pPr>
      <w:r>
        <w:rPr>
          <w:b/>
        </w:rPr>
        <w:t xml:space="preserve"> </w:t>
      </w:r>
      <w:r/>
      <w:r/>
    </w:p>
    <w:p>
      <w:pPr>
        <w:jc w:val="center"/>
        <w:keepLines/>
        <w:keepNext/>
        <w:rPr>
          <w:b/>
          <w:sz w:val="24"/>
          <w:szCs w:val="24"/>
        </w:rPr>
      </w:pPr>
      <w:r>
        <w:rPr>
          <w:b/>
        </w:rPr>
        <w:t xml:space="preserve">Лот № </w:t>
      </w:r>
      <w:r>
        <w:rPr>
          <w:b/>
        </w:rPr>
        <w:t xml:space="preserve">11023032-РЕМ ПРОД-2026-ДГК-НерГРЭС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</w:rPr>
      </w:pPr>
      <w:r>
        <w:rPr>
          <w:b/>
          <w:sz w:val="24"/>
        </w:rPr>
        <w:t xml:space="preserve">Требования к оформлению и составлению документации по ценообразованию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002"/>
        <w:numPr>
          <w:ilvl w:val="0"/>
          <w:numId w:val="20"/>
        </w:numPr>
        <w:ind w:left="0" w:firstLine="709"/>
        <w:jc w:val="both"/>
      </w:pPr>
      <w:r>
        <w:t xml:space="preserve">В составе документации сметы на СМР формировать по следующим критериям:</w:t>
      </w:r>
      <w:r/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формировании стоимости работ </w:t>
      </w:r>
      <w:r>
        <w:rPr>
          <w:sz w:val="24"/>
          <w:szCs w:val="24"/>
        </w:rPr>
        <w:t xml:space="preserve">– стоимость должна быть подтверждена подробным и обоснованным расчётом, учитывающим весь объём работ, указанный в Ведомости объёмов работ на выполнение работ, все предполагаемые затраты Подрядчика, обязательные платежи, стоимость всех сопутствующих работ.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2"/>
        <w:numPr>
          <w:ilvl w:val="0"/>
          <w:numId w:val="20"/>
        </w:numPr>
        <w:ind w:left="0" w:firstLine="720"/>
        <w:jc w:val="both"/>
      </w:pPr>
      <w:r>
        <w:t xml:space="preserve">Использование нормативов ценообразования, не зарегистрированных и не вошедших в ФРСН, не допускается, кроме случаев, прямо указанных в настоящих требованиях.</w:t>
      </w:r>
      <w:r/>
    </w:p>
    <w:p>
      <w:pPr>
        <w:pStyle w:val="1002"/>
        <w:numPr>
          <w:ilvl w:val="0"/>
          <w:numId w:val="20"/>
        </w:numPr>
        <w:ind w:left="0" w:firstLine="720"/>
        <w:jc w:val="both"/>
      </w:pPr>
      <w:r>
        <w:t xml:space="preserve">Сметная документация составляется в программном комплексе «Гранд-Смета». Версия должна быть не ниже 2021.</w:t>
      </w:r>
      <w:r/>
    </w:p>
    <w:p>
      <w:pPr>
        <w:pStyle w:val="1002"/>
        <w:numPr>
          <w:ilvl w:val="0"/>
          <w:numId w:val="20"/>
        </w:numPr>
        <w:ind w:left="0" w:firstLine="720"/>
        <w:jc w:val="both"/>
      </w:pPr>
      <w:r>
        <w:t xml:space="preserve">При составлении смет руководствоваться </w:t>
      </w:r>
      <w:r>
        <w:t xml:space="preserve"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</w:t>
      </w:r>
      <w:r>
        <w:t xml:space="preserve">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</w:t>
      </w:r>
      <w:r>
        <w:t xml:space="preserve"> учетом изменений и дополнений</w:t>
      </w:r>
      <w:r>
        <w:t xml:space="preserve">.</w:t>
      </w:r>
      <w:r>
        <w:t xml:space="preserve"> </w:t>
      </w:r>
      <w:r/>
    </w:p>
    <w:p>
      <w:pPr>
        <w:pStyle w:val="1002"/>
        <w:numPr>
          <w:ilvl w:val="0"/>
          <w:numId w:val="20"/>
        </w:numPr>
        <w:ind w:left="0" w:firstLine="720"/>
        <w:jc w:val="both"/>
      </w:pPr>
      <w:r>
        <w:t xml:space="preserve">Для определения сметной стоимости при использовании сборников базисных цен на конкретные виды работ приоритетным методом определения текущей стоимости работ является Базисно-индексный метод.</w:t>
      </w:r>
      <w:r/>
    </w:p>
    <w:p>
      <w:pPr>
        <w:pStyle w:val="1002"/>
        <w:numPr>
          <w:ilvl w:val="0"/>
          <w:numId w:val="20"/>
        </w:numPr>
        <w:ind w:left="0" w:firstLine="720"/>
        <w:jc w:val="both"/>
      </w:pPr>
      <w:r>
        <w:t xml:space="preserve">Сметная документация разработана Заказчиком</w:t>
      </w:r>
      <w:r>
        <w:t xml:space="preserve">,</w:t>
      </w:r>
      <w:r>
        <w:t xml:space="preserve"> </w:t>
      </w:r>
      <w:r>
        <w:t xml:space="preserve">согласно</w:t>
      </w:r>
      <w:r>
        <w:t xml:space="preserve"> </w:t>
      </w:r>
      <w:r>
        <w:t xml:space="preserve">следующих ценовых показателей (критериев):</w:t>
      </w:r>
      <w:r/>
    </w:p>
    <w:p>
      <w:pPr>
        <w:ind w:firstLine="708"/>
        <w:jc w:val="both"/>
        <w:rPr>
          <w:sz w:val="24"/>
          <w:szCs w:val="24"/>
        </w:rPr>
      </w:pPr>
      <w:r>
        <w:t xml:space="preserve">- </w:t>
      </w:r>
      <w:r>
        <w:rPr>
          <w:sz w:val="24"/>
          <w:szCs w:val="24"/>
        </w:rPr>
        <w:t xml:space="preserve">базисно-индексным  методом  по сборникам «Базовых цен на работы по ремонту энергетического оборудования, адекватные условиям функционирования конкурентного рынка услуг по ремонту и техперевооружению» (далее – СБЦ);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-для фор</w:t>
      </w:r>
      <w:r>
        <w:rPr>
          <w:sz w:val="24"/>
          <w:szCs w:val="24"/>
        </w:rPr>
        <w:t xml:space="preserve">ми</w:t>
      </w:r>
      <w:r>
        <w:rPr>
          <w:sz w:val="24"/>
          <w:szCs w:val="24"/>
        </w:rPr>
        <w:t xml:space="preserve">ро</w:t>
      </w:r>
      <w:r>
        <w:rPr>
          <w:sz w:val="24"/>
          <w:szCs w:val="24"/>
        </w:rPr>
        <w:t xml:space="preserve">ва</w:t>
      </w:r>
      <w:r>
        <w:rPr>
          <w:sz w:val="24"/>
          <w:szCs w:val="24"/>
        </w:rPr>
        <w:t xml:space="preserve">ния смет</w:t>
      </w:r>
      <w:r>
        <w:rPr>
          <w:sz w:val="24"/>
          <w:szCs w:val="24"/>
        </w:rPr>
        <w:t xml:space="preserve">ной стои</w:t>
      </w:r>
      <w:r>
        <w:rPr>
          <w:sz w:val="24"/>
          <w:szCs w:val="24"/>
        </w:rPr>
        <w:t xml:space="preserve">мо</w:t>
      </w:r>
      <w:r>
        <w:rPr>
          <w:sz w:val="24"/>
          <w:szCs w:val="24"/>
        </w:rPr>
        <w:t xml:space="preserve">сти ра</w:t>
      </w:r>
      <w:r>
        <w:rPr>
          <w:sz w:val="24"/>
          <w:szCs w:val="24"/>
        </w:rPr>
        <w:t xml:space="preserve">бот по ремонту оборудования  при</w:t>
      </w:r>
      <w:r>
        <w:rPr>
          <w:sz w:val="24"/>
          <w:szCs w:val="24"/>
        </w:rPr>
        <w:t xml:space="preserve">ме</w:t>
      </w:r>
      <w:r>
        <w:rPr>
          <w:sz w:val="24"/>
          <w:szCs w:val="24"/>
        </w:rPr>
        <w:t xml:space="preserve">нён по</w:t>
      </w:r>
      <w:r>
        <w:rPr>
          <w:sz w:val="24"/>
          <w:szCs w:val="24"/>
        </w:rPr>
        <w:t xml:space="preserve">пра</w:t>
      </w:r>
      <w:r>
        <w:rPr>
          <w:sz w:val="24"/>
          <w:szCs w:val="24"/>
        </w:rPr>
        <w:t xml:space="preserve">воч</w:t>
      </w:r>
      <w:r>
        <w:rPr>
          <w:sz w:val="24"/>
          <w:szCs w:val="24"/>
        </w:rPr>
        <w:t xml:space="preserve">ный ин</w:t>
      </w:r>
      <w:r>
        <w:rPr>
          <w:sz w:val="24"/>
          <w:szCs w:val="24"/>
        </w:rPr>
        <w:t xml:space="preserve">декс в раз</w:t>
      </w:r>
      <w:r>
        <w:rPr>
          <w:sz w:val="24"/>
          <w:szCs w:val="24"/>
        </w:rPr>
        <w:t xml:space="preserve">ме</w:t>
      </w:r>
      <w:r>
        <w:rPr>
          <w:sz w:val="24"/>
          <w:szCs w:val="24"/>
        </w:rPr>
        <w:t xml:space="preserve">ре К = 4.2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(без уче</w:t>
      </w:r>
      <w:r>
        <w:rPr>
          <w:sz w:val="24"/>
          <w:szCs w:val="24"/>
        </w:rPr>
        <w:t xml:space="preserve">та  вы</w:t>
      </w:r>
      <w:r>
        <w:rPr>
          <w:sz w:val="24"/>
          <w:szCs w:val="24"/>
        </w:rPr>
        <w:t xml:space="preserve">плат рай</w:t>
      </w:r>
      <w:r>
        <w:rPr>
          <w:sz w:val="24"/>
          <w:szCs w:val="24"/>
        </w:rPr>
        <w:t xml:space="preserve">он</w:t>
      </w:r>
      <w:r>
        <w:rPr>
          <w:sz w:val="24"/>
          <w:szCs w:val="24"/>
        </w:rPr>
        <w:t xml:space="preserve">но</w:t>
      </w:r>
      <w:r>
        <w:rPr>
          <w:sz w:val="24"/>
          <w:szCs w:val="24"/>
        </w:rPr>
        <w:t xml:space="preserve">го ко</w:t>
      </w:r>
      <w:r>
        <w:rPr>
          <w:sz w:val="24"/>
          <w:szCs w:val="24"/>
        </w:rPr>
        <w:t xml:space="preserve">эф</w:t>
      </w:r>
      <w:r>
        <w:rPr>
          <w:sz w:val="24"/>
          <w:szCs w:val="24"/>
        </w:rPr>
        <w:t xml:space="preserve">фи</w:t>
      </w:r>
      <w:r>
        <w:rPr>
          <w:sz w:val="24"/>
          <w:szCs w:val="24"/>
        </w:rPr>
        <w:t xml:space="preserve">ци</w:t>
      </w:r>
      <w:r>
        <w:rPr>
          <w:sz w:val="24"/>
          <w:szCs w:val="24"/>
        </w:rPr>
        <w:t xml:space="preserve">ен</w:t>
      </w:r>
      <w:r>
        <w:rPr>
          <w:sz w:val="24"/>
          <w:szCs w:val="24"/>
        </w:rPr>
        <w:t xml:space="preserve">та и над</w:t>
      </w:r>
      <w:r>
        <w:rPr>
          <w:sz w:val="24"/>
          <w:szCs w:val="24"/>
        </w:rPr>
        <w:t xml:space="preserve">ба</w:t>
      </w:r>
      <w:r>
        <w:rPr>
          <w:sz w:val="24"/>
          <w:szCs w:val="24"/>
        </w:rPr>
        <w:t xml:space="preserve">вок к за</w:t>
      </w:r>
      <w:r>
        <w:rPr>
          <w:sz w:val="24"/>
          <w:szCs w:val="24"/>
        </w:rPr>
        <w:t xml:space="preserve">ра</w:t>
      </w:r>
      <w:r>
        <w:rPr>
          <w:sz w:val="24"/>
          <w:szCs w:val="24"/>
        </w:rPr>
        <w:t xml:space="preserve">бот</w:t>
      </w:r>
      <w:r>
        <w:rPr>
          <w:sz w:val="24"/>
          <w:szCs w:val="24"/>
        </w:rPr>
        <w:t xml:space="preserve">ной пла</w:t>
      </w:r>
      <w:r>
        <w:rPr>
          <w:sz w:val="24"/>
          <w:szCs w:val="24"/>
        </w:rPr>
        <w:t xml:space="preserve">те за не</w:t>
      </w:r>
      <w:r>
        <w:rPr>
          <w:sz w:val="24"/>
          <w:szCs w:val="24"/>
        </w:rPr>
        <w:t xml:space="preserve">пре</w:t>
      </w:r>
      <w:r>
        <w:rPr>
          <w:sz w:val="24"/>
          <w:szCs w:val="24"/>
        </w:rPr>
        <w:t xml:space="preserve">рыв</w:t>
      </w:r>
      <w:r>
        <w:rPr>
          <w:sz w:val="24"/>
          <w:szCs w:val="24"/>
        </w:rPr>
        <w:t xml:space="preserve">ный стаж ра</w:t>
      </w:r>
      <w:r>
        <w:rPr>
          <w:sz w:val="24"/>
          <w:szCs w:val="24"/>
        </w:rPr>
        <w:t xml:space="preserve">бо</w:t>
      </w:r>
      <w:r>
        <w:rPr>
          <w:sz w:val="24"/>
          <w:szCs w:val="24"/>
        </w:rPr>
        <w:t xml:space="preserve">ты, до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лат за вред</w:t>
      </w:r>
      <w:r>
        <w:rPr>
          <w:sz w:val="24"/>
          <w:szCs w:val="24"/>
        </w:rPr>
        <w:t xml:space="preserve">ные ус</w:t>
      </w:r>
      <w:r>
        <w:rPr>
          <w:sz w:val="24"/>
          <w:szCs w:val="24"/>
        </w:rPr>
        <w:t xml:space="preserve">ло</w:t>
      </w:r>
      <w:r>
        <w:rPr>
          <w:sz w:val="24"/>
          <w:szCs w:val="24"/>
        </w:rPr>
        <w:t xml:space="preserve">вия тру</w:t>
      </w:r>
      <w:r>
        <w:rPr>
          <w:sz w:val="24"/>
          <w:szCs w:val="24"/>
        </w:rPr>
        <w:t xml:space="preserve">да) к «Ба</w:t>
      </w:r>
      <w:r>
        <w:rPr>
          <w:sz w:val="24"/>
          <w:szCs w:val="24"/>
        </w:rPr>
        <w:t xml:space="preserve">зо</w:t>
      </w:r>
      <w:r>
        <w:rPr>
          <w:sz w:val="24"/>
          <w:szCs w:val="24"/>
        </w:rPr>
        <w:t xml:space="preserve">вым це</w:t>
      </w:r>
      <w:r>
        <w:rPr>
          <w:sz w:val="24"/>
          <w:szCs w:val="24"/>
        </w:rPr>
        <w:t xml:space="preserve">нам на ра</w:t>
      </w:r>
      <w:r>
        <w:rPr>
          <w:sz w:val="24"/>
          <w:szCs w:val="24"/>
        </w:rPr>
        <w:t xml:space="preserve">бо</w:t>
      </w:r>
      <w:r>
        <w:rPr>
          <w:sz w:val="24"/>
          <w:szCs w:val="24"/>
        </w:rPr>
        <w:t xml:space="preserve">ты по ре</w:t>
      </w:r>
      <w:r>
        <w:rPr>
          <w:sz w:val="24"/>
          <w:szCs w:val="24"/>
        </w:rPr>
        <w:t xml:space="preserve">мон</w:t>
      </w:r>
      <w:r>
        <w:rPr>
          <w:sz w:val="24"/>
          <w:szCs w:val="24"/>
        </w:rPr>
        <w:t xml:space="preserve">ту энер</w:t>
      </w:r>
      <w:r>
        <w:rPr>
          <w:sz w:val="24"/>
          <w:szCs w:val="24"/>
        </w:rPr>
        <w:t xml:space="preserve">ге</w:t>
      </w:r>
      <w:r>
        <w:rPr>
          <w:sz w:val="24"/>
          <w:szCs w:val="24"/>
        </w:rPr>
        <w:t xml:space="preserve">ти</w:t>
      </w:r>
      <w:r>
        <w:rPr>
          <w:sz w:val="24"/>
          <w:szCs w:val="24"/>
        </w:rPr>
        <w:t xml:space="preserve">че</w:t>
      </w:r>
      <w:r>
        <w:rPr>
          <w:sz w:val="24"/>
          <w:szCs w:val="24"/>
        </w:rPr>
        <w:t xml:space="preserve">ско</w:t>
      </w:r>
      <w:r>
        <w:rPr>
          <w:sz w:val="24"/>
          <w:szCs w:val="24"/>
        </w:rPr>
        <w:t xml:space="preserve">го обо</w:t>
      </w:r>
      <w:r>
        <w:rPr>
          <w:sz w:val="24"/>
          <w:szCs w:val="24"/>
        </w:rPr>
        <w:t xml:space="preserve">ру</w:t>
      </w:r>
      <w:r>
        <w:rPr>
          <w:sz w:val="24"/>
          <w:szCs w:val="24"/>
        </w:rPr>
        <w:t xml:space="preserve">до</w:t>
      </w:r>
      <w:r>
        <w:rPr>
          <w:sz w:val="24"/>
          <w:szCs w:val="24"/>
        </w:rPr>
        <w:t xml:space="preserve">ва</w:t>
      </w:r>
      <w:r>
        <w:rPr>
          <w:sz w:val="24"/>
          <w:szCs w:val="24"/>
        </w:rPr>
        <w:t xml:space="preserve">ния, аде</w:t>
      </w:r>
      <w:r>
        <w:rPr>
          <w:sz w:val="24"/>
          <w:szCs w:val="24"/>
        </w:rPr>
        <w:t xml:space="preserve">к</w:t>
      </w:r>
      <w:r>
        <w:rPr>
          <w:sz w:val="24"/>
          <w:szCs w:val="24"/>
        </w:rPr>
        <w:t xml:space="preserve">ват</w:t>
      </w:r>
      <w:r>
        <w:rPr>
          <w:sz w:val="24"/>
          <w:szCs w:val="24"/>
        </w:rPr>
        <w:t xml:space="preserve">ным ус</w:t>
      </w:r>
      <w:r>
        <w:rPr>
          <w:sz w:val="24"/>
          <w:szCs w:val="24"/>
        </w:rPr>
        <w:t xml:space="preserve">ло</w:t>
      </w:r>
      <w:r>
        <w:rPr>
          <w:sz w:val="24"/>
          <w:szCs w:val="24"/>
        </w:rPr>
        <w:t xml:space="preserve">ви</w:t>
      </w:r>
      <w:r>
        <w:rPr>
          <w:sz w:val="24"/>
          <w:szCs w:val="24"/>
        </w:rPr>
        <w:t xml:space="preserve">ям функ</w:t>
      </w:r>
      <w:r>
        <w:rPr>
          <w:sz w:val="24"/>
          <w:szCs w:val="24"/>
        </w:rPr>
        <w:t xml:space="preserve">цио</w:t>
      </w:r>
      <w:r>
        <w:rPr>
          <w:sz w:val="24"/>
          <w:szCs w:val="24"/>
        </w:rPr>
        <w:t xml:space="preserve">ни</w:t>
      </w:r>
      <w:r>
        <w:rPr>
          <w:sz w:val="24"/>
          <w:szCs w:val="24"/>
        </w:rPr>
        <w:t xml:space="preserve">ро</w:t>
      </w:r>
      <w:r>
        <w:rPr>
          <w:sz w:val="24"/>
          <w:szCs w:val="24"/>
        </w:rPr>
        <w:t xml:space="preserve">ва</w:t>
      </w:r>
      <w:r>
        <w:rPr>
          <w:sz w:val="24"/>
          <w:szCs w:val="24"/>
        </w:rPr>
        <w:t xml:space="preserve">ния кон</w:t>
      </w:r>
      <w:r>
        <w:rPr>
          <w:sz w:val="24"/>
          <w:szCs w:val="24"/>
        </w:rPr>
        <w:t xml:space="preserve">ку</w:t>
      </w:r>
      <w:r>
        <w:rPr>
          <w:sz w:val="24"/>
          <w:szCs w:val="24"/>
        </w:rPr>
        <w:t xml:space="preserve">рент</w:t>
      </w:r>
      <w:r>
        <w:rPr>
          <w:sz w:val="24"/>
          <w:szCs w:val="24"/>
        </w:rPr>
        <w:t xml:space="preserve">но</w:t>
      </w:r>
      <w:r>
        <w:rPr>
          <w:sz w:val="24"/>
          <w:szCs w:val="24"/>
        </w:rPr>
        <w:t xml:space="preserve">го рын</w:t>
      </w:r>
      <w:r>
        <w:rPr>
          <w:sz w:val="24"/>
          <w:szCs w:val="24"/>
        </w:rPr>
        <w:t xml:space="preserve">ка ус</w:t>
      </w:r>
      <w:r>
        <w:rPr>
          <w:sz w:val="24"/>
          <w:szCs w:val="24"/>
        </w:rPr>
        <w:t xml:space="preserve">луг по ре</w:t>
      </w:r>
      <w:r>
        <w:rPr>
          <w:sz w:val="24"/>
          <w:szCs w:val="24"/>
        </w:rPr>
        <w:t xml:space="preserve">мон</w:t>
      </w:r>
      <w:r>
        <w:rPr>
          <w:sz w:val="24"/>
          <w:szCs w:val="24"/>
        </w:rPr>
        <w:t xml:space="preserve">ту и тех</w:t>
      </w:r>
      <w:r>
        <w:rPr>
          <w:sz w:val="24"/>
          <w:szCs w:val="24"/>
        </w:rPr>
        <w:t xml:space="preserve">пе</w:t>
      </w:r>
      <w:r>
        <w:rPr>
          <w:sz w:val="24"/>
          <w:szCs w:val="24"/>
        </w:rPr>
        <w:t xml:space="preserve">ре</w:t>
      </w:r>
      <w:r>
        <w:rPr>
          <w:sz w:val="24"/>
          <w:szCs w:val="24"/>
        </w:rPr>
        <w:t xml:space="preserve">во</w:t>
      </w:r>
      <w:r>
        <w:rPr>
          <w:sz w:val="24"/>
          <w:szCs w:val="24"/>
        </w:rPr>
        <w:t xml:space="preserve">ору</w:t>
      </w:r>
      <w:r>
        <w:rPr>
          <w:sz w:val="24"/>
          <w:szCs w:val="24"/>
        </w:rPr>
        <w:t xml:space="preserve">же</w:t>
      </w:r>
      <w:r>
        <w:rPr>
          <w:sz w:val="24"/>
          <w:szCs w:val="24"/>
        </w:rPr>
        <w:t xml:space="preserve">нию;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 расценкам отсутствующим в сборниках «Базовые цены…» ( автомобильные перевозки, погрузо-разгрузочные работы) стоимость работ определять ресурсно-индексным методом по сметно-нормативной базе</w:t>
      </w:r>
      <w:r>
        <w:rPr>
          <w:sz w:val="24"/>
          <w:szCs w:val="24"/>
        </w:rPr>
        <w:t xml:space="preserve"> «ФСНБ 2022» актуальной редакции</w:t>
      </w:r>
      <w:r>
        <w:rPr>
          <w:sz w:val="24"/>
          <w:szCs w:val="24"/>
        </w:rPr>
        <w:t xml:space="preserve">. Норматив сметной прибыли при этом учитывать в размере 30% от ФОТ для СМР .  При отсутствии расценок в нормативных сборниках сметная стоимость допустимо определять на основании калькуляций.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Из норм и расценок, внесенных в ФРСН, при составлении сметной документации исключить затраты: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2"/>
        <w:numPr>
          <w:ilvl w:val="0"/>
          <w:numId w:val="20"/>
        </w:numPr>
        <w:ind w:left="0" w:firstLine="709"/>
        <w:jc w:val="both"/>
      </w:pPr>
      <w:r>
        <w:t xml:space="preserve">Затраты на эксплуатацию строительной техники, не учтенной нормами и расценками, включенными в ФРСН, определяются </w:t>
      </w:r>
      <w:r>
        <w:t xml:space="preserve">по наиболее экономичному варианту (минимальному значению) по результатам конъюнктурного анализа в соответствии с пунктами Методики определения сметной стоимости строительства, изложенными в Приложении № </w:t>
      </w:r>
      <w:r>
        <w:t xml:space="preserve">2</w:t>
      </w:r>
      <w:r>
        <w:t xml:space="preserve"> к Требованиям к оформлению и составлению документации по ценообразованию</w:t>
      </w:r>
      <w:r>
        <w:t xml:space="preserve"> </w:t>
      </w:r>
      <w:r>
        <w:t xml:space="preserve">и включаются в Главу 9 ССРСС.</w:t>
      </w:r>
      <w:r/>
    </w:p>
    <w:p>
      <w:pPr>
        <w:pStyle w:val="1002"/>
        <w:numPr>
          <w:ilvl w:val="0"/>
          <w:numId w:val="20"/>
        </w:numPr>
        <w:ind w:left="0" w:firstLine="709"/>
        <w:jc w:val="both"/>
      </w:pPr>
      <w:r>
        <w:t xml:space="preserve">При отсутствии информации о сметных ценах в ФГИС ЦС по материальным ресурсам и оборудова</w:t>
      </w:r>
      <w:r>
        <w:t xml:space="preserve">нию или значительного отклонения цен на материалы и оборудования от стоимости,  учтенной нормативными сборниками ( более 10%)  их сметная цена формируетс</w:t>
      </w:r>
      <w:r>
        <w:t xml:space="preserve">я на основании данных ПК «Ресурсная карта» с последующим подтверждением на стадии расчетов обосновывающими документами или технико-коммерческими предложениями  по наиболее экономичному варианту (минимальному значению) по результатам конъюнктурного анализа </w:t>
      </w:r>
      <w:r/>
    </w:p>
    <w:p>
      <w:pPr>
        <w:pStyle w:val="1002"/>
        <w:ind w:left="0" w:firstLine="567"/>
        <w:jc w:val="both"/>
      </w:pPr>
      <w:r>
        <w:t xml:space="preserve">Транспортные затраты определяются следующими методами:</w:t>
      </w:r>
      <w:r/>
    </w:p>
    <w:p>
      <w:pPr>
        <w:pStyle w:val="1002"/>
        <w:ind w:left="0" w:firstLine="567"/>
        <w:jc w:val="both"/>
      </w:pPr>
      <w:r>
        <w:t xml:space="preserve">По доставке материальных ресурсов:</w:t>
      </w:r>
      <w:r/>
    </w:p>
    <w:p>
      <w:pPr>
        <w:pStyle w:val="1002"/>
        <w:ind w:left="0" w:firstLine="567"/>
        <w:jc w:val="both"/>
      </w:pPr>
      <w:r>
        <w:t xml:space="preserve">- по результатам конъюнктурного анализа с учетом данных о стоимости услуг, полученных не менее</w:t>
      </w:r>
      <w:r>
        <w:t xml:space="preserve"> чем от 3-х (двух) поставщиков (производителей) таких услуг, либо на основании данных по 1 (одному) поставщику транспортных услуг, который является производителем или поставщиком материальных ресурсов или оборудования (при отсутствии информации в ФГИС ЦС);</w:t>
      </w:r>
      <w:r/>
    </w:p>
    <w:p>
      <w:pPr>
        <w:pStyle w:val="1002"/>
        <w:ind w:left="0" w:firstLine="567"/>
        <w:jc w:val="both"/>
      </w:pPr>
      <w:r>
        <w:t xml:space="preserve">- 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  <w:r/>
    </w:p>
    <w:p>
      <w:pPr>
        <w:pStyle w:val="1002"/>
        <w:ind w:left="0" w:firstLine="567"/>
        <w:jc w:val="both"/>
      </w:pPr>
      <w:r>
        <w:t xml:space="preserve"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  <w:r/>
    </w:p>
    <w:p>
      <w:pPr>
        <w:pStyle w:val="1002"/>
        <w:ind w:left="0" w:firstLine="567"/>
        <w:jc w:val="both"/>
      </w:pPr>
      <w:r>
        <w:t xml:space="preserve">• 2% - для материальных ресурсов (кроме металлоконструкций);</w:t>
      </w:r>
      <w:r/>
    </w:p>
    <w:p>
      <w:pPr>
        <w:pStyle w:val="1002"/>
        <w:ind w:left="0" w:firstLine="567"/>
        <w:jc w:val="both"/>
      </w:pPr>
      <w:r>
        <w:t xml:space="preserve">• 0,75% - для металлоконструкций;</w:t>
      </w:r>
      <w:r/>
    </w:p>
    <w:p>
      <w:pPr>
        <w:pStyle w:val="1002"/>
        <w:ind w:left="0" w:firstLine="567"/>
        <w:jc w:val="both"/>
      </w:pPr>
      <w:r>
        <w:t xml:space="preserve">• 1,2% - для оборудования.</w:t>
      </w:r>
      <w:r/>
    </w:p>
    <w:p>
      <w:pPr>
        <w:pStyle w:val="1002"/>
        <w:ind w:left="0" w:firstLine="567"/>
        <w:jc w:val="both"/>
      </w:pPr>
      <w:r>
        <w:t xml:space="preserve"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  <w:r/>
    </w:p>
    <w:p>
      <w:pPr>
        <w:pStyle w:val="1002"/>
        <w:numPr>
          <w:ilvl w:val="0"/>
          <w:numId w:val="20"/>
        </w:numPr>
        <w:ind w:left="0" w:firstLine="720"/>
        <w:jc w:val="both"/>
      </w:pPr>
      <w:r>
        <w:t xml:space="preserve">Поправочные коэффициенты из технической</w:t>
      </w:r>
      <w:r>
        <w:t xml:space="preserve">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 Коэффициенты, учитывающие усложняющие фактор</w:t>
      </w:r>
      <w:r>
        <w:t xml:space="preserve">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  <w:r/>
    </w:p>
    <w:p>
      <w:pPr>
        <w:pStyle w:val="1002"/>
        <w:numPr>
          <w:ilvl w:val="0"/>
          <w:numId w:val="20"/>
        </w:numPr>
        <w:ind w:left="0" w:firstLine="709"/>
        <w:jc w:val="both"/>
        <w:tabs>
          <w:tab w:val="left" w:pos="1134" w:leader="none"/>
        </w:tabs>
      </w:pPr>
      <w:r>
        <w:t xml:space="preserve"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  <w:r/>
    </w:p>
    <w:p>
      <w:pPr>
        <w:pStyle w:val="1020"/>
        <w:ind w:left="709" w:firstLine="0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Размер командировочных расходов учитывать в размере 3,74% от итогов глав 1-9 без учета стоимости оборудования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 w:firstLine="0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       При производстве СМР и ПНР лимиты командировочных расходов на стадии расчетов принимать в размере не более: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 w:firstLine="0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суточные – 700 руб./сутки;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709" w:firstLine="0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проживание – 550 руб./сутки;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709" w:firstLine="0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2"/>
        <w:numPr>
          <w:ilvl w:val="0"/>
          <w:numId w:val="20"/>
        </w:numPr>
        <w:ind w:left="426" w:firstLine="294"/>
        <w:jc w:val="both"/>
      </w:pPr>
      <w:r>
        <w:t xml:space="preserve">В </w:t>
      </w:r>
      <w:r>
        <w:t xml:space="preserve">сметном расчете итоговая цифра без НДС указывается в рублях и округляется до целого числа. При начислении НДС итоговая цифра указываются в рублях и округляется до двух знаков после запятой</w:t>
      </w:r>
      <w:r>
        <w:t xml:space="preserve">).</w:t>
      </w:r>
      <w:r/>
    </w:p>
    <w:p>
      <w:pPr>
        <w:pStyle w:val="1002"/>
        <w:numPr>
          <w:ilvl w:val="0"/>
          <w:numId w:val="20"/>
        </w:numPr>
        <w:ind w:left="426" w:firstLine="294"/>
        <w:jc w:val="both"/>
      </w:pPr>
      <w:r>
        <w:t xml:space="preserve">В случае снижения заявленной стоимости путём ввода в сметны</w:t>
      </w:r>
      <w:r>
        <w:t xml:space="preserve">й расчет «понижающего коэффициента», учтённый в окончательной смете понижающий коэффициент обязателен к применению как в актах выполненных работ на стадии расчётов, так и в дополнительных сметах в случае их составления на стадии выполнения Договора подряда</w:t>
      </w:r>
      <w:r/>
    </w:p>
    <w:p>
      <w:pPr>
        <w:pStyle w:val="1002"/>
        <w:numPr>
          <w:ilvl w:val="0"/>
          <w:numId w:val="31"/>
        </w:numPr>
        <w:ind w:left="0" w:firstLine="709"/>
        <w:jc w:val="both"/>
        <w:tabs>
          <w:tab w:val="num" w:pos="1134" w:leader="none"/>
          <w:tab w:val="clear" w:pos="1272" w:leader="none"/>
        </w:tabs>
      </w:pPr>
      <w:r>
        <w:rPr>
          <w:sz w:val="22"/>
          <w:szCs w:val="22"/>
        </w:rPr>
        <w:t xml:space="preserve">Выходные формы сметных расчетов должны соответствовать Образц</w:t>
      </w:r>
      <w:r>
        <w:rPr>
          <w:sz w:val="22"/>
          <w:szCs w:val="22"/>
        </w:rPr>
        <w:t xml:space="preserve">у</w:t>
      </w:r>
      <w:r>
        <w:rPr>
          <w:sz w:val="22"/>
          <w:szCs w:val="22"/>
        </w:rPr>
        <w:t xml:space="preserve"> по приложени</w:t>
      </w:r>
      <w:r>
        <w:rPr>
          <w:sz w:val="22"/>
          <w:szCs w:val="22"/>
        </w:rPr>
        <w:t xml:space="preserve">ю</w:t>
      </w:r>
      <w:r>
        <w:rPr>
          <w:sz w:val="22"/>
          <w:szCs w:val="22"/>
        </w:rPr>
        <w:t xml:space="preserve"> 1.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  <w:t xml:space="preserve">. </w:t>
      </w:r>
      <w:r/>
    </w:p>
    <w:p>
      <w:pPr>
        <w:pStyle w:val="1002"/>
        <w:numPr>
          <w:ilvl w:val="0"/>
          <w:numId w:val="31"/>
        </w:numPr>
        <w:ind w:left="0" w:firstLine="709"/>
        <w:jc w:val="both"/>
        <w:tabs>
          <w:tab w:val="num" w:pos="1134" w:leader="none"/>
          <w:tab w:val="clear" w:pos="1272" w:leader="none"/>
        </w:tabs>
      </w:pPr>
      <w:r>
        <w:rPr>
          <w:sz w:val="22"/>
          <w:szCs w:val="22"/>
        </w:rPr>
        <w:t xml:space="preserve">Сметная документация должна быть представлена в двух вариантах:</w:t>
      </w:r>
      <w:r/>
    </w:p>
    <w:p>
      <w:pPr>
        <w:pStyle w:val="1020"/>
        <w:numPr>
          <w:ilvl w:val="0"/>
          <w:numId w:val="32"/>
        </w:numPr>
        <w:ind w:left="0" w:firstLine="567"/>
        <w:jc w:val="both"/>
        <w:spacing w:before="40" w:after="40"/>
        <w:widowControl/>
        <w:tabs>
          <w:tab w:val="num" w:pos="426" w:leader="none"/>
          <w:tab w:val="num" w:pos="993" w:leader="none"/>
          <w:tab w:val="num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бумажном носителе (количество указано в конкурсной документации);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0"/>
        <w:numPr>
          <w:ilvl w:val="0"/>
          <w:numId w:val="32"/>
        </w:numPr>
        <w:ind w:left="0" w:firstLine="567"/>
        <w:jc w:val="both"/>
        <w:spacing w:before="40" w:after="40"/>
        <w:widowControl/>
        <w:tabs>
          <w:tab w:val="num" w:pos="426" w:leader="none"/>
          <w:tab w:val="num" w:pos="993" w:leader="none"/>
          <w:tab w:val="num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электронном носителе (в форматах «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xml</w:t>
      </w:r>
      <w:r>
        <w:rPr>
          <w:rFonts w:ascii="Times New Roman" w:hAnsi="Times New Roman" w:cs="Times New Roman"/>
          <w:sz w:val="22"/>
          <w:szCs w:val="22"/>
        </w:rPr>
        <w:t xml:space="preserve">»,</w:t>
      </w:r>
      <w:r>
        <w:rPr>
          <w:rFonts w:ascii="Times New Roman" w:hAnsi="Times New Roman" w:cs="Times New Roman"/>
          <w:color w:val="2e74b5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ПК «Гранд-Смета», «Excel», «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pdf</w:t>
      </w:r>
      <w:r>
        <w:rPr>
          <w:rFonts w:ascii="Times New Roman" w:hAnsi="Times New Roman" w:cs="Times New Roman"/>
          <w:sz w:val="22"/>
          <w:szCs w:val="22"/>
        </w:rPr>
        <w:t xml:space="preserve">»), полностью соответствующему бумажному варианту;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0"/>
        <w:numPr>
          <w:ilvl w:val="0"/>
          <w:numId w:val="32"/>
        </w:numPr>
        <w:ind w:left="0" w:firstLine="567"/>
        <w:jc w:val="both"/>
        <w:spacing w:before="40" w:after="40"/>
        <w:widowControl/>
        <w:tabs>
          <w:tab w:val="num" w:pos="426" w:leader="none"/>
          <w:tab w:val="num" w:pos="993" w:leader="none"/>
          <w:tab w:val="num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сметная документация в формате «Exce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l</w:t>
      </w:r>
      <w:r>
        <w:rPr>
          <w:rFonts w:ascii="Times New Roman" w:hAnsi="Times New Roman" w:cs="Times New Roman"/>
          <w:sz w:val="22"/>
          <w:szCs w:val="22"/>
        </w:rPr>
        <w:t xml:space="preserve">» должна быть представлена в одном файле с внесением ССРСС, ЛСР и других расчетов на отдельные листы (вкладки) документа.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0"/>
        <w:numPr>
          <w:ilvl w:val="0"/>
          <w:numId w:val="32"/>
        </w:numPr>
        <w:ind w:left="0" w:firstLine="567"/>
        <w:jc w:val="both"/>
        <w:spacing w:before="40" w:after="40"/>
        <w:widowControl/>
        <w:tabs>
          <w:tab w:val="num" w:pos="426" w:leader="none"/>
          <w:tab w:val="num" w:pos="993" w:leader="none"/>
          <w:tab w:val="num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формате ПК «Гранд-смета» выходная форма для печати указана ниже: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0"/>
        <w:ind w:firstLine="567"/>
        <w:jc w:val="both"/>
        <w:widowControl/>
        <w:tabs>
          <w:tab w:val="num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right"/>
        <w:pageBreakBefore/>
        <w:sectPr>
          <w:footnotePr>
            <w:numRestart w:val="eachPage"/>
          </w:footnotePr>
          <w:endnotePr/>
          <w:type w:val="continuous"/>
          <w:pgSz w:w="11906" w:h="16838" w:orient="portrait"/>
          <w:pgMar w:top="567" w:right="709" w:bottom="340" w:left="1134" w:header="709" w:footer="709" w:gutter="0"/>
          <w:cols w:num="1" w:sep="0" w:space="708" w:equalWidth="1"/>
          <w:docGrid w:linePitch="360"/>
        </w:sectPr>
      </w:pPr>
      <w:r>
        <w:rPr>
          <w:rFonts w:eastAsia="Calibri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027088" cy="3593465"/>
                <wp:effectExtent l="0" t="0" r="0" b="6985"/>
                <wp:docPr id="1" name="Рисунок 2" descr="cid:image001.jpg@01D771AB.FE884A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cid:image001.jpg@01D771AB.FE884A1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6071424" cy="36198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74.57pt;height:282.95pt;mso-wrap-distance-left:0.00pt;mso-wrap-distance-top:0.00pt;mso-wrap-distance-right:0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/>
    </w:p>
    <w:p>
      <w:pPr>
        <w:jc w:val="right"/>
        <w:pageBreakBefore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</w:t>
      </w:r>
      <w:r>
        <w:rPr>
          <w:color w:val="000000"/>
          <w:sz w:val="20"/>
          <w:szCs w:val="20"/>
        </w:rPr>
        <w:t xml:space="preserve">риложение 1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</w:rPr>
        <w:t xml:space="preserve">к Требованиям к оформлению и составлению сметной документации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jc w:val="both"/>
      </w:pPr>
      <w:r/>
      <w:r/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Требования к оформлению и составлению сводного сметного расчета</w:t>
      </w:r>
      <w:r>
        <w:rPr>
          <w:b/>
        </w:rPr>
      </w:r>
      <w:r>
        <w:rPr>
          <w:b/>
        </w:rPr>
      </w:r>
    </w:p>
    <w:p>
      <w:pPr>
        <w:pStyle w:val="1020"/>
        <w:ind w:firstLine="0"/>
        <w:jc w:val="both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0"/>
        <w:numPr>
          <w:ilvl w:val="0"/>
          <w:numId w:val="33"/>
        </w:numPr>
        <w:ind w:left="0" w:firstLine="709"/>
        <w:jc w:val="both"/>
        <w:widowControl/>
        <w:tabs>
          <w:tab w:val="left" w:pos="993" w:leader="none"/>
        </w:tabs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При наличии двух и более сметных расчетов составлять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№ 1.1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техническому перевооружению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по образцу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</w:t>
      </w:r>
      <w:r>
        <w:rPr>
          <w:rFonts w:ascii="Times New Roman" w:hAnsi="Times New Roman"/>
          <w:color w:val="000000"/>
          <w:sz w:val="22"/>
        </w:rPr>
      </w:r>
      <w:r>
        <w:rPr>
          <w:rFonts w:ascii="Times New Roman" w:hAnsi="Times New Roman"/>
          <w:color w:val="000000"/>
          <w:sz w:val="22"/>
        </w:rPr>
      </w:r>
    </w:p>
    <w:p>
      <w:pPr>
        <w:pStyle w:val="1020"/>
        <w:numPr>
          <w:ilvl w:val="0"/>
          <w:numId w:val="33"/>
        </w:numPr>
        <w:ind w:left="0" w:firstLine="709"/>
        <w:jc w:val="both"/>
        <w:widowControl/>
        <w:tabs>
          <w:tab w:val="left" w:pos="993" w:leader="none"/>
        </w:tabs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заключений дополнительных соглашений к договору (далее </w:t>
      </w:r>
      <w:r>
        <w:rPr>
          <w:rFonts w:ascii="Times New Roman" w:hAnsi="Times New Roman"/>
          <w:color w:val="000000"/>
          <w:sz w:val="22"/>
        </w:rPr>
        <w:t xml:space="preserve">–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 xml:space="preserve">Д/С</w:t>
      </w:r>
      <w:r>
        <w:rPr>
          <w:rFonts w:ascii="Times New Roman" w:hAnsi="Times New Roman"/>
          <w:color w:val="000000"/>
          <w:sz w:val="22"/>
        </w:rPr>
        <w:t xml:space="preserve">),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ЛСР (</w:t>
      </w:r>
      <w:r>
        <w:rPr>
          <w:rFonts w:ascii="Times New Roman" w:hAnsi="Times New Roman"/>
          <w:color w:val="000000"/>
          <w:sz w:val="22"/>
        </w:rPr>
        <w:t xml:space="preserve">ЛС) к основному договору и ко всем заключенным </w:t>
      </w:r>
      <w:r>
        <w:rPr>
          <w:rFonts w:ascii="Times New Roman" w:hAnsi="Times New Roman"/>
          <w:color w:val="000000"/>
          <w:sz w:val="22"/>
        </w:rPr>
        <w:t xml:space="preserve">Д/С</w:t>
      </w:r>
      <w:r>
        <w:rPr>
          <w:rFonts w:ascii="Times New Roman" w:hAnsi="Times New Roman"/>
          <w:color w:val="000000"/>
          <w:sz w:val="22"/>
        </w:rPr>
        <w:t xml:space="preserve"> к нему. В итогах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 (справочно) указывать суммы изменения (уменьшения, увеличения) основного договора на основании заключения </w:t>
      </w:r>
      <w:r>
        <w:rPr>
          <w:rFonts w:ascii="Times New Roman" w:hAnsi="Times New Roman"/>
          <w:color w:val="000000"/>
          <w:sz w:val="22"/>
        </w:rPr>
        <w:t xml:space="preserve">Д/С</w:t>
      </w:r>
      <w:r>
        <w:rPr>
          <w:rFonts w:ascii="Times New Roman" w:hAnsi="Times New Roman"/>
          <w:color w:val="000000"/>
          <w:sz w:val="22"/>
        </w:rPr>
        <w:t xml:space="preserve">, которые определяются как разница между суммой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 очередного </w:t>
      </w:r>
      <w:r>
        <w:rPr>
          <w:rFonts w:ascii="Times New Roman" w:hAnsi="Times New Roman"/>
          <w:color w:val="000000"/>
          <w:sz w:val="22"/>
        </w:rPr>
        <w:t xml:space="preserve">Д/С</w:t>
      </w:r>
      <w:r>
        <w:rPr>
          <w:rFonts w:ascii="Times New Roman" w:hAnsi="Times New Roman"/>
          <w:color w:val="000000"/>
          <w:sz w:val="22"/>
        </w:rPr>
        <w:t xml:space="preserve"> и стоимостью основного договора. Форма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 с учетом заключения </w:t>
      </w:r>
      <w:r>
        <w:rPr>
          <w:rFonts w:ascii="Times New Roman" w:hAnsi="Times New Roman"/>
          <w:color w:val="000000"/>
          <w:sz w:val="22"/>
        </w:rPr>
        <w:t xml:space="preserve">Д/С</w:t>
      </w:r>
      <w:r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№ 1.2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техническому перевооружению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>
        <w:rPr>
          <w:rFonts w:ascii="Times New Roman" w:hAnsi="Times New Roman"/>
          <w:color w:val="000000"/>
          <w:sz w:val="22"/>
        </w:rPr>
      </w:r>
      <w:r>
        <w:rPr>
          <w:rFonts w:ascii="Times New Roman" w:hAnsi="Times New Roman"/>
          <w:color w:val="000000"/>
          <w:sz w:val="22"/>
        </w:rPr>
      </w:r>
    </w:p>
    <w:p>
      <w:pPr>
        <w:pStyle w:val="1020"/>
        <w:numPr>
          <w:ilvl w:val="0"/>
          <w:numId w:val="33"/>
        </w:numPr>
        <w:ind w:left="0" w:firstLine="709"/>
        <w:jc w:val="both"/>
        <w:widowControl/>
        <w:tabs>
          <w:tab w:val="left" w:pos="993" w:leader="none"/>
        </w:tabs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ЛСР (ЛС) разрабатываются отдельно на исключаемые и дополнительные объемы работ. </w:t>
      </w:r>
      <w:r>
        <w:rPr>
          <w:rFonts w:ascii="Times New Roman" w:hAnsi="Times New Roman"/>
          <w:color w:val="000000"/>
          <w:sz w:val="22"/>
        </w:rPr>
      </w:r>
      <w:r>
        <w:rPr>
          <w:rFonts w:ascii="Times New Roman" w:hAnsi="Times New Roman"/>
          <w:color w:val="000000"/>
          <w:sz w:val="22"/>
        </w:rPr>
      </w:r>
    </w:p>
    <w:p>
      <w:pPr>
        <w:pStyle w:val="1020"/>
        <w:numPr>
          <w:ilvl w:val="0"/>
          <w:numId w:val="33"/>
        </w:numPr>
        <w:ind w:left="0" w:firstLine="709"/>
        <w:jc w:val="both"/>
        <w:widowControl/>
        <w:tabs>
          <w:tab w:val="left" w:pos="993" w:leader="none"/>
        </w:tabs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ЛС являются приложениями к ССРСС. Нумерация приложений указывается по мере включения ЛС в ССР в накопительной форме - по порядку.</w:t>
      </w:r>
      <w:r>
        <w:rPr>
          <w:rFonts w:ascii="Times New Roman" w:hAnsi="Times New Roman"/>
          <w:color w:val="000000"/>
          <w:sz w:val="22"/>
        </w:rPr>
      </w:r>
      <w:r>
        <w:rPr>
          <w:rFonts w:ascii="Times New Roman" w:hAnsi="Times New Roman"/>
          <w:color w:val="000000"/>
          <w:sz w:val="22"/>
        </w:rPr>
      </w:r>
    </w:p>
    <w:p>
      <w:pPr>
        <w:pStyle w:val="1020"/>
        <w:numPr>
          <w:ilvl w:val="0"/>
          <w:numId w:val="33"/>
        </w:numPr>
        <w:ind w:left="0" w:firstLine="709"/>
        <w:jc w:val="both"/>
        <w:widowControl/>
        <w:tabs>
          <w:tab w:val="left" w:pos="993" w:leader="none"/>
        </w:tabs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Разнесение затрат (сумм ЛС) по графам и главам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>
        <w:rPr>
          <w:rFonts w:ascii="Times New Roman" w:hAnsi="Times New Roman"/>
          <w:color w:val="000000"/>
          <w:sz w:val="22"/>
        </w:rPr>
        <w:t xml:space="preserve">Методики определения сметной стоимости строительства</w:t>
      </w:r>
      <w:r>
        <w:rPr>
          <w:rFonts w:ascii="Times New Roman" w:hAnsi="Times New Roman"/>
          <w:color w:val="000000"/>
          <w:sz w:val="22"/>
        </w:rPr>
        <w:t xml:space="preserve">.</w:t>
      </w:r>
      <w:r>
        <w:rPr>
          <w:rFonts w:ascii="Times New Roman" w:hAnsi="Times New Roman"/>
          <w:color w:val="000000"/>
          <w:sz w:val="22"/>
        </w:rPr>
      </w:r>
      <w:r>
        <w:rPr>
          <w:rFonts w:ascii="Times New Roman" w:hAnsi="Times New Roman"/>
          <w:color w:val="000000"/>
          <w:sz w:val="22"/>
        </w:rPr>
      </w:r>
    </w:p>
    <w:p>
      <w:pPr>
        <w:pStyle w:val="1020"/>
        <w:numPr>
          <w:ilvl w:val="0"/>
          <w:numId w:val="33"/>
        </w:numPr>
        <w:ind w:left="0" w:firstLine="709"/>
        <w:jc w:val="both"/>
        <w:widowControl/>
        <w:tabs>
          <w:tab w:val="left" w:pos="993" w:leader="none"/>
        </w:tabs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/>
          <w:color w:val="000000"/>
          <w:sz w:val="22"/>
        </w:rPr>
        <w:t xml:space="preserve">в рубл</w:t>
      </w:r>
      <w:r>
        <w:rPr>
          <w:rFonts w:ascii="Times New Roman" w:hAnsi="Times New Roman"/>
          <w:color w:val="000000"/>
          <w:sz w:val="22"/>
        </w:rPr>
        <w:t xml:space="preserve">ях </w:t>
      </w:r>
      <w:r>
        <w:rPr>
          <w:rFonts w:ascii="Times New Roman" w:hAnsi="Times New Roman"/>
          <w:color w:val="000000"/>
          <w:sz w:val="22"/>
        </w:rPr>
        <w:t xml:space="preserve">с округлением до двух знаков после запятой</w:t>
      </w:r>
      <w:r>
        <w:rPr>
          <w:rFonts w:ascii="Times New Roman" w:hAnsi="Times New Roman"/>
          <w:color w:val="000000"/>
          <w:sz w:val="22"/>
        </w:rPr>
        <w:t xml:space="preserve">.</w:t>
      </w:r>
      <w:r>
        <w:rPr>
          <w:rFonts w:ascii="Times New Roman" w:hAnsi="Times New Roman"/>
          <w:color w:val="000000"/>
          <w:sz w:val="22"/>
        </w:rPr>
        <w:t xml:space="preserve"> Величину НДС не указывать.</w:t>
      </w:r>
      <w:r>
        <w:rPr>
          <w:rFonts w:ascii="Times New Roman" w:hAnsi="Times New Roman"/>
          <w:color w:val="000000"/>
          <w:sz w:val="22"/>
        </w:rPr>
      </w:r>
      <w:r>
        <w:rPr>
          <w:rFonts w:ascii="Times New Roman" w:hAnsi="Times New Roman"/>
          <w:color w:val="000000"/>
          <w:sz w:val="22"/>
        </w:rPr>
      </w:r>
    </w:p>
    <w:p>
      <w:pPr>
        <w:pStyle w:val="1020"/>
        <w:numPr>
          <w:ilvl w:val="0"/>
          <w:numId w:val="33"/>
        </w:numPr>
        <w:ind w:left="0" w:firstLine="709"/>
        <w:jc w:val="both"/>
        <w:widowControl/>
        <w:tabs>
          <w:tab w:val="left" w:pos="993" w:leader="none"/>
        </w:tabs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  <w:r>
        <w:rPr>
          <w:rFonts w:ascii="Times New Roman" w:hAnsi="Times New Roman"/>
          <w:color w:val="000000"/>
          <w:sz w:val="22"/>
        </w:rPr>
      </w:r>
      <w:r>
        <w:rPr>
          <w:rFonts w:ascii="Times New Roman" w:hAnsi="Times New Roman"/>
          <w:color w:val="000000"/>
          <w:sz w:val="22"/>
        </w:rPr>
      </w:r>
    </w:p>
    <w:p>
      <w:pPr>
        <w:pStyle w:val="1020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jc w:val="both"/>
      </w:pPr>
      <w:r/>
      <w:r/>
    </w:p>
    <w:p>
      <w:pPr>
        <w:pStyle w:val="1020"/>
        <w:ind w:left="5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ind w:firstLine="0"/>
        <w:rPr>
          <w:rFonts w:ascii="Times New Roman" w:hAnsi="Times New Roman"/>
        </w:rPr>
      </w:pPr>
      <w:r>
        <w:rPr>
          <w:rFonts w:ascii="Times New Roman" w:hAnsi="Times New Roman"/>
          <w:b/>
          <w:sz w:val="22"/>
          <w:szCs w:val="22"/>
        </w:rPr>
        <w:t xml:space="preserve">ОБРАЗЕЦ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ind w:left="5811"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 1.1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ind w:left="5811"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сметной документации на выполнение работ по техническому перевооружению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Приложение №___                                                                                    к договору от_______№_____ 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jc w:val="right"/>
        <w:rPr>
          <w:rFonts w:ascii="Times New Roman" w:hAnsi="Times New Roman"/>
        </w:rPr>
      </w:pPr>
      <w:r/>
      <w:bookmarkStart w:id="3" w:name="P3258"/>
      <w:r/>
      <w:bookmarkStart w:id="4" w:name="P2506"/>
      <w:r/>
      <w:bookmarkStart w:id="5" w:name="P2522"/>
      <w:r/>
      <w:bookmarkStart w:id="6" w:name="P2523"/>
      <w:r/>
      <w:bookmarkStart w:id="7" w:name="P2524"/>
      <w:r/>
      <w:bookmarkStart w:id="8" w:name="P2525"/>
      <w:r/>
      <w:bookmarkStart w:id="9" w:name="P2526"/>
      <w:r/>
      <w:bookmarkStart w:id="10" w:name="P2527"/>
      <w:r/>
      <w:bookmarkStart w:id="11" w:name="P2528"/>
      <w:r/>
      <w:bookmarkStart w:id="12" w:name="P2529"/>
      <w:r/>
      <w:bookmarkStart w:id="13" w:name="P2530"/>
      <w:r/>
      <w:bookmarkStart w:id="14" w:name="P2531"/>
      <w:r/>
      <w:bookmarkStart w:id="15" w:name="P2546"/>
      <w:r/>
      <w:bookmarkStart w:id="16" w:name="P2566"/>
      <w:r/>
      <w:bookmarkStart w:id="17" w:name="P2616"/>
      <w:r/>
      <w:bookmarkStart w:id="18" w:name="P2736"/>
      <w:r/>
      <w:bookmarkStart w:id="19" w:name="P2746"/>
      <w:r/>
      <w:bookmarkStart w:id="20" w:name="P2945"/>
      <w:r/>
      <w:bookmarkEnd w:id="3"/>
      <w:r/>
      <w:bookmarkEnd w:id="4"/>
      <w:r/>
      <w:bookmarkEnd w:id="5"/>
      <w:r/>
      <w:bookmarkEnd w:id="6"/>
      <w:r/>
      <w:bookmarkEnd w:id="7"/>
      <w:r/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bookmarkEnd w:id="2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9780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464"/>
        <w:gridCol w:w="6316"/>
      </w:tblGrid>
      <w:tr>
        <w:tblPrEx/>
        <w:trPr>
          <w:trHeight w:val="115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64" w:type="dxa"/>
            <w:textDirection w:val="lrTb"/>
            <w:noWrap w:val="false"/>
          </w:tcPr>
          <w:p>
            <w:pPr>
              <w:pStyle w:val="1020"/>
              <w:ind w:left="2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______________(Подрядчик )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firstLine="0"/>
              <w:tabs>
                <w:tab w:val="left" w:pos="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_______________(ФИО)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Заказчик</w:t>
            </w:r>
            <w:r>
              <w:rPr>
                <w:rFonts w:ascii="Times New Roman" w:hAnsi="Times New Roman" w:cs="Times New Roman"/>
              </w:rPr>
              <w:t xml:space="preserve">:______________________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16" w:type="dxa"/>
            <w:textDirection w:val="lrTb"/>
            <w:noWrap w:val="false"/>
          </w:tcPr>
          <w:p>
            <w:pPr>
              <w:pStyle w:val="1020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УТВЕРЖД</w:t>
            </w:r>
            <w:r>
              <w:rPr>
                <w:rFonts w:ascii="Times New Roman" w:hAnsi="Times New Roman" w:cs="Times New Roman"/>
                <w:b/>
              </w:rPr>
              <w:t xml:space="preserve">АЮ</w:t>
            </w:r>
            <w:r>
              <w:rPr>
                <w:rFonts w:ascii="Times New Roman" w:hAnsi="Times New Roman" w:cs="Times New Roman"/>
                <w:b/>
              </w:rPr>
              <w:t xml:space="preserve">: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1020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2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1020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 xml:space="preserve">ФИО)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6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(наименование 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16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Утвержден</w:t>
            </w:r>
            <w:r>
              <w:rPr>
                <w:rFonts w:ascii="Times New Roman" w:hAnsi="Times New Roman" w:cs="Times New Roman"/>
              </w:rPr>
              <w:t xml:space="preserve">:</w:t>
            </w:r>
            <w:r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__ г.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10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9780" w:type="dxa"/>
        <w:tblInd w:w="426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190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1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Сводный сметный расчет сметной стоимостью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66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01" w:type="dxa"/>
            <w:textDirection w:val="lrTb"/>
            <w:noWrap w:val="false"/>
          </w:tcPr>
          <w:p>
            <w:pPr>
              <w:pStyle w:val="102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руб.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78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(ссылка на документ об утверждении)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СВОДНЫЙ СМЕТНЫЙ РАСЧЕТ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ССР</w:t>
            </w:r>
            <w:r>
              <w:rPr>
                <w:rFonts w:ascii="Times New Roman" w:hAnsi="Times New Roman" w:cs="Times New Roman"/>
              </w:rPr>
              <w:t xml:space="preserve">СС</w:t>
            </w:r>
            <w:r>
              <w:rPr>
                <w:rFonts w:ascii="Times New Roman" w:hAnsi="Times New Roman" w:cs="Times New Roman"/>
              </w:rPr>
              <w:t xml:space="preserve">-________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2"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78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(наименование стройки)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 в </w:t>
            </w:r>
            <w:r>
              <w:rPr>
                <w:rFonts w:ascii="Times New Roman" w:hAnsi="Times New Roman" w:cs="Times New Roman"/>
              </w:rPr>
              <w:t xml:space="preserve">текущих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</w:rPr>
              <w:t xml:space="preserve">_________________ 20__ 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020"/>
        <w:jc w:val="center"/>
      </w:pPr>
      <w:r/>
      <w:r/>
    </w:p>
    <w:tbl>
      <w:tblPr>
        <w:tblW w:w="9780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067"/>
        <w:gridCol w:w="708"/>
      </w:tblGrid>
      <w:tr>
        <w:tblPrEx/>
        <w:trPr>
          <w:trHeight w:val="212"/>
        </w:trPr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Nп/п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93" w:type="dxa"/>
            <w:vMerge w:val="restart"/>
            <w:textDirection w:val="lrTb"/>
            <w:noWrap w:val="false"/>
          </w:tcPr>
          <w:p>
            <w:pPr>
              <w:pStyle w:val="102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Обоснование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553" w:type="dxa"/>
            <w:vMerge w:val="restart"/>
            <w:textDirection w:val="lrTb"/>
            <w:noWrap w:val="false"/>
          </w:tcPr>
          <w:p>
            <w:pPr>
              <w:pStyle w:val="1020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глав, объектов капитального строительства, работ и затрат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7"/>
            <w:tcW w:w="660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Сметная стоимость, руб.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1019"/>
        </w:trPr>
        <w:tc>
          <w:tcPr>
            <w:tcBorders>
              <w:bottom w:val="single" w:color="auto" w:sz="4" w:space="0"/>
            </w:tcBorders>
            <w:tcW w:w="6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93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155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1707" w:type="dxa"/>
            <w:textDirection w:val="lrTb"/>
            <w:noWrap w:val="false"/>
          </w:tcPr>
          <w:p>
            <w:pPr>
              <w:pStyle w:val="1020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строительных (ремонтно-строительных, ремонтно-реставрационных)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20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20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оборудования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bottom w:val="single" w:color="auto" w:sz="4" w:space="0"/>
            </w:tcBorders>
            <w:tcW w:w="1067" w:type="dxa"/>
            <w:textDirection w:val="lrTb"/>
            <w:noWrap w:val="false"/>
          </w:tcPr>
          <w:p>
            <w:pPr>
              <w:pStyle w:val="1020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прочих затрат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bottom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сего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4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3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ind w:firstLine="4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6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1553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170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</w:tcBorders>
            <w:tcW w:w="106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6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1553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170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single" w:color="auto" w:sz="4" w:space="0"/>
            </w:tcBorders>
            <w:tcW w:w="106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7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pStyle w:val="1020"/>
              <w:ind w:left="170" w:hanging="425"/>
              <w:tabs>
                <w:tab w:val="left" w:pos="567" w:leader="none"/>
                <w:tab w:val="left" w:pos="2091" w:leader="none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ind w:left="170" w:hanging="141"/>
              <w:tabs>
                <w:tab w:val="left" w:pos="851" w:leader="none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проектной организации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6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6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[подпись (инициалы, фамилия)]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инженер проекта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6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0" w:type="dxa"/>
            <w:textDirection w:val="lrTb"/>
            <w:noWrap w:val="false"/>
          </w:tcPr>
          <w:p>
            <w:pPr>
              <w:pStyle w:val="1020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8" w:type="dxa"/>
            <w:textDirection w:val="lrTb"/>
            <w:noWrap w:val="false"/>
          </w:tcPr>
          <w:p>
            <w:pPr>
              <w:pStyle w:val="1020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отдела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6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4" w:type="dxa"/>
            <w:textDirection w:val="lrTb"/>
            <w:noWrap w:val="false"/>
          </w:tcPr>
          <w:p>
            <w:pPr>
              <w:pStyle w:val="1020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[подпись (инициалы, фамилия)]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0" w:type="dxa"/>
            <w:textDirection w:val="lrTb"/>
            <w:noWrap w:val="false"/>
          </w:tcPr>
          <w:p>
            <w:pPr>
              <w:pStyle w:val="1020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Заказчик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7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[подпись (инициалы, фамилия)]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</w:tbl>
    <w:p>
      <w:pPr>
        <w:ind w:left="35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left="397"/>
        <w:rPr>
          <w:sz w:val="22"/>
          <w:szCs w:val="22"/>
        </w:rPr>
      </w:pPr>
      <w:r>
        <w:rPr>
          <w:b/>
          <w:sz w:val="22"/>
          <w:szCs w:val="22"/>
        </w:rPr>
        <w:t xml:space="preserve">ОБРАЗЕЦ</w:t>
      </w:r>
      <w:r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righ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 xml:space="preserve">№</w:t>
      </w:r>
      <w:r>
        <w:rPr>
          <w:sz w:val="20"/>
          <w:szCs w:val="20"/>
        </w:rPr>
        <w:t xml:space="preserve">1.2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2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сметной документации на выполнение работ  по техническому перевооружению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ind w:left="5811"/>
        <w:jc w:val="right"/>
        <w:tabs>
          <w:tab w:val="left" w:pos="680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 xml:space="preserve">Приложение №___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ind w:left="5811"/>
        <w:jc w:val="right"/>
        <w:tabs>
          <w:tab w:val="left" w:pos="694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 xml:space="preserve">к дополнительному соглашению от ___ № 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ind w:left="58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к договору от________№_____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9922" w:type="dxa"/>
        <w:tblInd w:w="426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225"/>
        <w:gridCol w:w="8697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25" w:type="dxa"/>
            <w:textDirection w:val="lrTb"/>
            <w:noWrap w:val="false"/>
          </w:tcPr>
          <w:p>
            <w:pPr>
              <w:pStyle w:val="102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</w:rPr>
              <w:t xml:space="preserve">Заказчик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69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25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9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(наименование организации)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Утвержден __ ______________ 20__ 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0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922" w:type="dxa"/>
        <w:tblInd w:w="426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2043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1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Сводный сметный расчет сметной стоимостью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66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43" w:type="dxa"/>
            <w:textDirection w:val="lrTb"/>
            <w:noWrap w:val="false"/>
          </w:tcPr>
          <w:p>
            <w:pPr>
              <w:pStyle w:val="102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руб.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(ссылка на документ об утверждении)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0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922" w:type="dxa"/>
        <w:tblInd w:w="426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92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СВОДНЫЙ СМЕТНЫЙ РАСЧЕТ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firstLine="79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ССР</w:t>
            </w:r>
            <w:r>
              <w:rPr>
                <w:rFonts w:ascii="Times New Roman" w:hAnsi="Times New Roman" w:cs="Times New Roman"/>
              </w:rPr>
              <w:t xml:space="preserve">СС</w:t>
            </w:r>
            <w:r>
              <w:rPr>
                <w:rFonts w:ascii="Times New Roman" w:hAnsi="Times New Roman" w:cs="Times New Roman"/>
              </w:rPr>
              <w:t xml:space="preserve">-________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(наименование стройки)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 в </w:t>
            </w:r>
            <w:r>
              <w:rPr>
                <w:rFonts w:ascii="Times New Roman" w:hAnsi="Times New Roman" w:cs="Times New Roman"/>
              </w:rPr>
              <w:t xml:space="preserve">текущих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</w:rPr>
              <w:t xml:space="preserve">_________________ 20__ 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0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922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990"/>
      </w:tblGrid>
      <w:tr>
        <w:tblPrEx/>
        <w:trPr>
          <w:trHeight w:val="311"/>
        </w:trPr>
        <w:tc>
          <w:tcPr>
            <w:tcW w:w="427" w:type="dxa"/>
            <w:vMerge w:val="restart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Nп/п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vMerge w:val="restart"/>
            <w:textDirection w:val="lrTb"/>
            <w:noWrap w:val="false"/>
          </w:tcPr>
          <w:p>
            <w:pPr>
              <w:pStyle w:val="102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Обоснование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vMerge w:val="restart"/>
            <w:textDirection w:val="lrTb"/>
            <w:noWrap w:val="false"/>
          </w:tcPr>
          <w:p>
            <w:pPr>
              <w:pStyle w:val="1020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глав, объектов капитального строительства, работ и затрат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6"/>
            <w:tcW w:w="652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Сметная стоимость, руб.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1294"/>
        </w:trPr>
        <w:tc>
          <w:tcPr>
            <w:tcW w:w="427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W w:w="198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строительных (ремонтно-строительных, ремонтно-реставрационных)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оборудования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прочих затрат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ind w:firstLine="5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сего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144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ind w:firstLin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ind w:firstLine="3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ind w:firstLine="22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ind w:firstLine="2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ind w:firstLine="2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ind w:firstLine="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ind w:firstLin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/>
        <w:tc>
          <w:tcPr>
            <w:gridSpan w:val="11"/>
            <w:tcW w:w="9922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87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39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33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gridSpan w:val="11"/>
            <w:tcW w:w="9922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Включить дополнительным соглашением № 1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34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45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включено дополнительным соглашением № 1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10"/>
            <w:tcW w:w="9495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Исключить дополнительным соглашением № 2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56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исключено дополнительным соглашением № 2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по главе №: 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по главам №№: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по ССР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83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 xml:space="preserve">Справочно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.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</w:p>
          <w:p>
            <w:pPr>
              <w:pStyle w:val="1020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Сумма основного договора, без НДС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Сумма изменения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 xml:space="preserve">(увеличения/уменьшения) стоимости основного договора на основании ДС № 1, без НДС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Сумма изменения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 xml:space="preserve">(увеличения/уменьшения) стоимости основного договора на основании ДС № 2, без НДС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47" w:type="dxa"/>
            <w:textDirection w:val="lrTb"/>
            <w:noWrap w:val="false"/>
          </w:tcPr>
          <w:p>
            <w:pPr>
              <w:pStyle w:val="1020"/>
              <w:ind w:left="425" w:hanging="425"/>
              <w:tabs>
                <w:tab w:val="left" w:pos="2091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Руководитель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 xml:space="preserve">проектной организации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575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4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7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75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[подпись (инициалы, фамилия)]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47" w:type="dxa"/>
            <w:textDirection w:val="lrTb"/>
            <w:noWrap w:val="false"/>
          </w:tcPr>
          <w:p>
            <w:pPr>
              <w:pStyle w:val="1020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инженер проекта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575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4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7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75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[подпись (инициалы, фамилия)]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020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89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020"/>
              <w:ind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80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89" w:type="dxa"/>
            <w:textDirection w:val="lrTb"/>
            <w:noWrap w:val="false"/>
          </w:tcPr>
          <w:p>
            <w:pPr>
              <w:pStyle w:val="1020"/>
              <w:ind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(наименование)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0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[подпись (инициалы, фамилия)]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020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Заказчик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209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8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09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[должность, подпись (инициалы, фамилия)]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020"/>
        <w:ind w:firstLine="0"/>
        <w:jc w:val="right"/>
        <w:widowControl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</w:p>
    <w:p>
      <w:pPr>
        <w:pStyle w:val="1020"/>
        <w:ind w:firstLine="0"/>
        <w:jc w:val="right"/>
        <w:widowControl/>
        <w:rPr>
          <w:rFonts w:ascii="Times New Roman" w:hAnsi="Times New Roman" w:cs="Times New Roman"/>
          <w:sz w:val="22"/>
          <w:szCs w:val="22"/>
        </w:rPr>
        <w:sectPr>
          <w:footnotePr>
            <w:numRestart w:val="eachPage"/>
          </w:footnotePr>
          <w:endnotePr/>
          <w:type w:val="continuous"/>
          <w:pgSz w:w="11906" w:h="16838" w:orient="portrait"/>
          <w:pgMar w:top="567" w:right="709" w:bottom="340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ОБРАЗЕЦ</w: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Приложение№1.</w:t>
      </w:r>
      <w:r>
        <w:rPr>
          <w:color w:val="000000"/>
          <w:sz w:val="20"/>
          <w:szCs w:val="20"/>
        </w:rPr>
        <w:t xml:space="preserve">3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102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>
        <w:rPr>
          <w:rFonts w:ascii="Times New Roman" w:hAnsi="Times New Roman"/>
        </w:rPr>
        <w:t xml:space="preserve">Требованиям к оформлению и составлению             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техническому перевооружению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>
        <w:tblPrEx/>
        <w:trPr>
          <w:trHeight w:val="28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СОГЛАСОВАНО: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3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УТВЕРЖДАЮ: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81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3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3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____" _____________202   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202  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08" w:type="pct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программного продукта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5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ПК "ГРАНД-Смета 2021"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стройки)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объекта капитального строительства)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480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</w:r>
            <w:r>
              <w:rPr>
                <w:rFonts w:ascii="Arial" w:hAnsi="Arial" w:cs="Arial"/>
                <w:b/>
                <w:bCs/>
                <w:color w:val="000000"/>
              </w:rPr>
            </w:r>
            <w:r>
              <w:rPr>
                <w:rFonts w:ascii="Arial" w:hAnsi="Arial" w:cs="Arial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70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конструктивного решения)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базисно-индексным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методом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6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Основание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38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38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(проектная и (или) иная техническая документация)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ующих периоду выполнения работ по договору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том числе: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строительных работ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Средства на оплату труда рабочих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монтажных работ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Нормативные затраты труда рабочих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чел.час.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оборудования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Нормативные затраты труда машинистов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чел.час.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прочих затрат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0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7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9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7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№ п/п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Обоснование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работ и затрат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Единица измерения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Сметная стоимость в базисном уровне цен (в текущем уровне цен (гр. 8)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для ресурсов, отсутствующих в СНБ), 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Индексы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Сметная стоимость в текущем уровне цен, 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 единицу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коэффициенты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всего с учетом коэффициентов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 единицу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коэффициенты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всего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</w:tbl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426" w:right="284" w:bottom="924" w:left="720" w:header="709" w:footer="709" w:gutter="0"/>
          <w:cols w:num="1" w:sep="0" w:space="708" w:equalWidth="1"/>
          <w:docGrid w:linePitch="360"/>
        </w:sect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1002"/>
        <w:ind w:left="6521"/>
        <w:jc w:val="right"/>
      </w:pPr>
      <w:r>
        <w:t xml:space="preserve">Приложение № </w:t>
      </w:r>
      <w:r>
        <w:t xml:space="preserve">2</w:t>
      </w:r>
      <w:r>
        <w:br/>
      </w:r>
      <w:r/>
    </w:p>
    <w:p>
      <w:pPr>
        <w:pStyle w:val="1002"/>
        <w:ind w:left="6521"/>
        <w:jc w:val="right"/>
      </w:pPr>
      <w:r>
        <w:t xml:space="preserve">к Требованиям к оформлению </w:t>
      </w:r>
      <w:r>
        <w:br/>
        <w:t xml:space="preserve">и составлению документации </w:t>
      </w:r>
      <w:r>
        <w:br/>
        <w:t xml:space="preserve">по ценообразованию</w:t>
      </w:r>
      <w:r>
        <w:br/>
      </w:r>
      <w:r/>
    </w:p>
    <w:p>
      <w:pPr>
        <w:pStyle w:val="1002"/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рекомендации по определению оптимальной стоимости материальных ресурсов, оборудования и прочих затрат (услуг)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2"/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включения в сметную документацию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2"/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результатам конъюктурного анализа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2"/>
        <w:numPr>
          <w:ilvl w:val="0"/>
          <w:numId w:val="27"/>
        </w:numPr>
        <w:ind w:left="0" w:firstLine="709"/>
        <w:jc w:val="both"/>
      </w:pPr>
      <w:r>
        <w:t xml:space="preserve">Для проведения конъюнктурного анализа используется информация из открыты</w:t>
      </w:r>
      <w:r>
        <w:t xml:space="preserve">х и (или) официальных источников о текущих ценах (в частности, печатные издания, информационно-телекоммуникационная сеть "Интернет"), подтверждаемая обосновывающими документами, подписанными производителями и (или) поставщиками соответствующих материальных</w:t>
      </w:r>
      <w:r>
        <w:t xml:space="preserve">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- подписанные уполномоченным лицом заказчика, в том числе для:</w:t>
      </w:r>
      <w:r>
        <w:br/>
        <w:t xml:space="preserve">а) материальных ресурсов и оборудования: копиями или оригиналами (при наличии) прейскурантов, коммерческих предложений, технико-коммерчески</w:t>
      </w:r>
      <w:r>
        <w:t xml:space="preserve">х предложений (далее - ТКП), расчетно-калькуляционных цен (далее - РКЦ), цен офсетных контрактов, а также информацией, принятой по данным, размещенной в информационно-телекоммуникационной сети "Интернет", используемой при проведении конъюнктурного анализа;</w:t>
      </w:r>
      <w:r>
        <w:br/>
        <w:t xml:space="preserve">б) прочих затрат: результатам</w:t>
      </w:r>
      <w:r>
        <w:t xml:space="preserve">и конкурсов, аукционов, данными Федеральной службы государственной статистики, данными о тарифах, утверждаемых в соответствии с законодательством Российской Федерации, копиями или оригиналами (при наличии) данных о ценах и тарифах, размещаемых в форме публ</w:t>
      </w:r>
      <w:r>
        <w:t xml:space="preserve">ичной оферты, коммерческих предложений или ТКП не менее 3 (трех) (при наличии) производителей и (или) поставщиков услуг, в случаях, когда законодательством Российской Федерации не предусмотрено государственное регулирование стоимости соответствующих услуг.</w:t>
      </w:r>
      <w:r/>
    </w:p>
    <w:p>
      <w:pPr>
        <w:pStyle w:val="1002"/>
        <w:ind w:left="0" w:firstLine="709"/>
        <w:jc w:val="both"/>
      </w:pPr>
      <w:r>
        <w:t xml:space="preserve">Обосновывающие стоимость в текущих ценах документы должны быть получены в период, не превышающий 6 месяцев до момента определения сметной стоимости.</w:t>
      </w:r>
      <w:r/>
    </w:p>
    <w:p>
      <w:pPr>
        <w:pStyle w:val="1002"/>
        <w:ind w:left="0" w:firstLine="709"/>
        <w:jc w:val="both"/>
      </w:pPr>
      <w:r>
        <w:t xml:space="preserve">Конъюнктурный анализ проводится по данным производителей (поставщиков) соответствующего субъекта Российской Федерации (части территории субъекта Российской Федерации), на территории которого осуществляется строительство. Для субъектов Российской </w:t>
      </w:r>
      <w:r>
        <w:t xml:space="preserve">Федерации (частей территорий субъектов Российской Федерации), на рынке которых не представлены необходимые материальные ресурсы и оборудование, допускается проведение конъюнктурного анализа по данным производителей (поставщиков), расположенных в других суб</w:t>
      </w:r>
      <w:r>
        <w:t xml:space="preserve">ъектах Российской Федерации (частях территории субъекта Российской Федерации), с учетом стоимости доставки до объекта строительства, рассчитанной в соответствии со сметными нормативами, сведения о которых включены в ФРСН, или согласно положениям пункта 12.</w:t>
      </w:r>
      <w:r/>
    </w:p>
    <w:p>
      <w:pPr>
        <w:pStyle w:val="1002"/>
        <w:ind w:left="0" w:firstLine="709"/>
        <w:jc w:val="both"/>
      </w:pPr>
      <w:r>
        <w:t xml:space="preserve">Результаты конъюнктурного анализа оформляются в соответствии с рекомендуемой формой, приведенной в п.13.</w:t>
      </w:r>
      <w:r/>
    </w:p>
    <w:p>
      <w:pPr>
        <w:pStyle w:val="1002"/>
        <w:ind w:left="0" w:firstLine="709"/>
        <w:jc w:val="both"/>
      </w:pPr>
      <w:r>
        <w:t xml:space="preserve">2. В документах, обосновывающих стоимость в текущем уровне цен соответствующих материальных ресурсов, оборудования и отдельных видов работ и услуг, предоставляемых производителями (поставщиками) или формируемых на основании данных из открытых</w:t>
      </w:r>
      <w:r>
        <w:t xml:space="preserve"> и (или) официальных источников, указанных в пункте 1, должна содержаться следующая информация: наименование производителя (поставщика), его идентификационный номер налогоплательщика (далее - ИНН), контактные данные, сайт в информационно-телекоммуникационн</w:t>
      </w:r>
      <w:r>
        <w:t xml:space="preserve">ой сети "Интернет" (при наличии), об исполнителе (исполнителях) (при наличии) такого обосновывающего документа с указанием фамилий и инициалов либо иных реквизитов, необходимых для идентификации этих лиц, а также о дате составления документа, дате и (или) </w:t>
      </w:r>
      <w:r>
        <w:t xml:space="preserve">сроках действия ценовых предложений, об учете (или не учете) в ценах отдельных затрат (в частности, на перевозку, шефмонтаж, шефналадку) и налога на добавленную стоимость (далее — НДС).</w:t>
      </w:r>
      <w:r/>
    </w:p>
    <w:p>
      <w:pPr>
        <w:pStyle w:val="1002"/>
        <w:ind w:left="0" w:firstLine="709"/>
        <w:jc w:val="both"/>
      </w:pPr>
      <w:r>
        <w:t xml:space="preserve">3. Данные, указанные в пункте 2, отсутствующие в документах, </w:t>
      </w:r>
      <w:r>
        <w:t xml:space="preserve">обосновывающих стоимость в текущем уровне цен соответствующих материальных ресурсов, оборудования, отдельных видов работ и услуг, могут быть дополнены и подписаны уполномоченным лицом заказчика при оформлении обоснований результатов конъюнктурного анализа.</w:t>
      </w:r>
      <w:r/>
    </w:p>
    <w:p>
      <w:pPr>
        <w:pStyle w:val="1002"/>
        <w:ind w:left="0" w:firstLine="709"/>
        <w:jc w:val="both"/>
      </w:pPr>
      <w:r>
        <w:t xml:space="preserve">4. В ТКП помимо данных, указанных в пунктах 2 и 3, приводится информация о стоимости материальных ресурсов, оборудования, работ и услуг с указанием единицы измерения, валюты расчета, курса пересчета (в </w:t>
      </w:r>
      <w:r>
        <w:t xml:space="preserve">случае использования ценовой информации в валюте иностранного государства). ТКП заверяются подписями и печатями (при наличии) уполномоченных лиц производителей с указанием их фамилий и инициалов либо иных реквизитов, необходимых для идентификации этих лиц.</w:t>
      </w:r>
      <w:r>
        <w:br/>
        <w:t xml:space="preserve">Характеристики материальных ресурсов, оборудования, работ и услуг, содержащиеся в ТКП, должны соответствовать решениям и мероприятиям проектной и рабочей документации.</w:t>
      </w:r>
      <w:r/>
    </w:p>
    <w:p>
      <w:pPr>
        <w:pStyle w:val="1002"/>
        <w:ind w:left="0" w:firstLine="709"/>
        <w:jc w:val="both"/>
      </w:pPr>
      <w:r>
        <w:t xml:space="preserve">5. РКЦ, предоставляемые производителями, расположенными на территории Российской Федерации, содержат следующие статьи затрат:</w:t>
      </w:r>
      <w:r/>
    </w:p>
    <w:p>
      <w:pPr>
        <w:pStyle w:val="1002"/>
        <w:ind w:left="0" w:firstLine="709"/>
        <w:jc w:val="both"/>
      </w:pPr>
      <w:r>
        <w:t xml:space="preserve">а) 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  <w:r/>
    </w:p>
    <w:p>
      <w:pPr>
        <w:pStyle w:val="1002"/>
        <w:ind w:left="0" w:firstLine="709"/>
        <w:jc w:val="both"/>
      </w:pPr>
      <w:r>
        <w:t xml:space="preserve">б) транспортные расходы (включая погрузочно-разгрузочные работы) и заготовительно-складские расходы (при наличии таких расходов), определяемые расчетом;</w:t>
      </w:r>
      <w:r/>
    </w:p>
    <w:p>
      <w:pPr>
        <w:pStyle w:val="1002"/>
        <w:ind w:left="0" w:firstLine="709"/>
        <w:jc w:val="both"/>
      </w:pPr>
      <w:r>
        <w:t xml:space="preserve">в) затраты на оплату труда с учетом страховых взносов и время работы оборудования (машин и механизмов), кот</w:t>
      </w:r>
      <w:r>
        <w:t xml:space="preserve">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</w:t>
      </w:r>
      <w:r>
        <w:t xml:space="preserve">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о среднемесячной заработной плате, сложившиеся в организации производителя;</w:t>
      </w:r>
      <w:r/>
    </w:p>
    <w:p>
      <w:pPr>
        <w:pStyle w:val="1002"/>
        <w:ind w:left="0" w:firstLine="709"/>
        <w:jc w:val="both"/>
      </w:pPr>
      <w:r>
        <w:t xml:space="preserve">г) затраты на приобретение энергоресурсов по тарифам, утвержденным в соответствии с законодательством Российской Федерации;</w:t>
      </w:r>
      <w:r/>
    </w:p>
    <w:p>
      <w:pPr>
        <w:pStyle w:val="1002"/>
        <w:ind w:left="0" w:firstLine="709"/>
        <w:jc w:val="both"/>
      </w:pPr>
      <w:r>
        <w:t xml:space="preserve">д) общепроизводственные и общехозяйственные расходы (накладные ра</w:t>
      </w:r>
      <w:r>
        <w:t xml:space="preserve">сходы), затраты на амортизацию, которые формируются в соответствии с законодательством Российской Федерации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  <w:r/>
    </w:p>
    <w:p>
      <w:pPr>
        <w:pStyle w:val="1002"/>
        <w:ind w:left="0" w:firstLine="709"/>
        <w:jc w:val="both"/>
      </w:pPr>
      <w:r>
        <w:t xml:space="preserve">е) прибыль (норма прибыли), предусмотренная учетной политикой производителя.</w:t>
      </w:r>
      <w:r/>
    </w:p>
    <w:p>
      <w:pPr>
        <w:pStyle w:val="1002"/>
        <w:ind w:left="0" w:firstLine="709"/>
        <w:jc w:val="both"/>
      </w:pPr>
      <w:r>
        <w:t xml:space="preserve">6. Для обоснования РКЦ формируется комплект расчетно-калькуляционных материалов (далее - РКМ). Типовой комплект РКМ включает в себя:</w:t>
      </w:r>
      <w:r/>
    </w:p>
    <w:p>
      <w:pPr>
        <w:pStyle w:val="1002"/>
        <w:ind w:left="0" w:firstLine="709"/>
        <w:jc w:val="both"/>
      </w:pPr>
      <w:r>
        <w:t xml:space="preserve">а) расшифровки понесенных прямых затрат на изготовление единицы продукции, включая обоснование принятой при расчете РКЦ нормы прибыли;</w:t>
      </w:r>
      <w:r/>
    </w:p>
    <w:p>
      <w:pPr>
        <w:pStyle w:val="1002"/>
        <w:ind w:left="0" w:firstLine="709"/>
        <w:jc w:val="both"/>
      </w:pPr>
      <w:r>
        <w:t xml:space="preserve">б) информацию о расходе материалов и изделий (в физических единицах измерения);</w:t>
      </w:r>
      <w:r/>
    </w:p>
    <w:p>
      <w:pPr>
        <w:pStyle w:val="1002"/>
        <w:ind w:left="0" w:firstLine="709"/>
        <w:jc w:val="both"/>
      </w:pPr>
      <w:r>
        <w:t xml:space="preserve">в) расшифровки принятых в РКЦ накладных расходов и амортизации;</w:t>
      </w:r>
      <w:r/>
    </w:p>
    <w:p>
      <w:pPr>
        <w:pStyle w:val="1002"/>
        <w:ind w:left="0" w:firstLine="709"/>
        <w:jc w:val="both"/>
      </w:pPr>
      <w:r>
        <w:t xml:space="preserve">г) 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  <w:r/>
    </w:p>
    <w:p>
      <w:pPr>
        <w:pStyle w:val="1002"/>
        <w:ind w:left="0" w:firstLine="709"/>
        <w:jc w:val="both"/>
      </w:pPr>
      <w:r>
        <w:t xml:space="preserve">7. Для подтверждения указанных расчетов к РКМ могут прилагаться или запрашиваться дополнительно следующие документы:</w:t>
      </w:r>
      <w:r/>
    </w:p>
    <w:p>
      <w:pPr>
        <w:pStyle w:val="1002"/>
        <w:ind w:left="0" w:firstLine="709"/>
        <w:jc w:val="both"/>
      </w:pPr>
      <w:r>
        <w:t xml:space="preserve">а) рабочие чертежи изделий;</w:t>
      </w:r>
      <w:r/>
    </w:p>
    <w:p>
      <w:pPr>
        <w:pStyle w:val="1002"/>
        <w:ind w:left="0" w:firstLine="709"/>
        <w:jc w:val="both"/>
      </w:pPr>
      <w:r>
        <w:t xml:space="preserve">б) уровень нормируемой среднемесячной заработной платы работников производителя;</w:t>
      </w:r>
      <w:r/>
    </w:p>
    <w:p>
      <w:pPr>
        <w:pStyle w:val="1002"/>
        <w:ind w:left="0" w:firstLine="709"/>
        <w:jc w:val="both"/>
      </w:pPr>
      <w:r>
        <w:t xml:space="preserve">в) документы, подтверждающие размер накладных расходов производителя;</w:t>
      </w:r>
      <w:r/>
    </w:p>
    <w:p>
      <w:pPr>
        <w:pStyle w:val="1002"/>
        <w:ind w:left="0" w:firstLine="709"/>
        <w:jc w:val="both"/>
      </w:pPr>
      <w:r>
        <w:t xml:space="preserve">г) справка о выпуске продукции за отчетный период в стоимостном и количественном выражении;</w:t>
      </w:r>
      <w:r/>
    </w:p>
    <w:p>
      <w:pPr>
        <w:pStyle w:val="1002"/>
        <w:ind w:left="0" w:firstLine="709"/>
        <w:jc w:val="both"/>
      </w:pPr>
      <w:r>
        <w:t xml:space="preserve">д) первичные бухгалтерские учетные документы, подтверждающие размер понесенных затрат;</w:t>
      </w:r>
      <w:r/>
    </w:p>
    <w:p>
      <w:pPr>
        <w:pStyle w:val="1002"/>
        <w:ind w:left="0" w:firstLine="709"/>
        <w:jc w:val="both"/>
      </w:pPr>
      <w:r>
        <w:t xml:space="preserve">е) технологическая документация, подтверждающая расчет стоимости материальных ресурсов и трудозатрат.</w:t>
      </w:r>
      <w:r/>
    </w:p>
    <w:p>
      <w:pPr>
        <w:pStyle w:val="1002"/>
        <w:ind w:left="0" w:firstLine="709"/>
        <w:jc w:val="both"/>
      </w:pPr>
      <w:r>
        <w:t xml:space="preserve">8. Указанные в пункте 6 документы 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Российской Федерации.</w:t>
      </w:r>
      <w:r/>
    </w:p>
    <w:p>
      <w:pPr>
        <w:pStyle w:val="1002"/>
        <w:ind w:left="0" w:firstLine="709"/>
        <w:jc w:val="both"/>
      </w:pPr>
      <w:r>
        <w:t xml:space="preserve">Указанные требования не предъявляются к РКЦ, предоставляемым производителями, расположенными за пределами территории Р</w:t>
      </w:r>
      <w:r>
        <w:t xml:space="preserve">оссийской Федерации, которые оформляются в свободной форме, позволяющей идентифицировать характеристики оборудования на предмет соответствия проектным решениям, заверяются подписями и печатями (при наличии) уполномоченных лиц производителей или заказчиком.</w:t>
      </w:r>
      <w:r/>
    </w:p>
    <w:p>
      <w:pPr>
        <w:pStyle w:val="1002"/>
        <w:ind w:left="0" w:firstLine="709"/>
        <w:jc w:val="both"/>
      </w:pPr>
      <w:r>
        <w:t xml:space="preserve">9. В случ</w:t>
      </w:r>
      <w:r>
        <w:t xml:space="preserve">ае определения сметной стоимости строительства одновременно в двух уровнях цен: текущем и базисном, сметная стоимость отдельных видов работ и услуг, а также сметных цен материальных ресурсов и оборудования, текущая стоимость которых получена в соответствии</w:t>
      </w:r>
      <w:r>
        <w:t xml:space="preserve"> с положениями пунктов 1 - 8 по результатам конъюнктурного анализа,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  <w:r/>
    </w:p>
    <w:p>
      <w:pPr>
        <w:pStyle w:val="1002"/>
        <w:ind w:left="0" w:firstLine="709"/>
        <w:jc w:val="both"/>
      </w:pPr>
      <w:r>
        <w:t xml:space="preserve">10.  Материальным ресурсам и оборудованию, отпускная цена которых в текущем уровне цен определена в соответст</w:t>
      </w:r>
      <w:r>
        <w:t xml:space="preserve">вии с положениями пунктов 1 - 8, присваивается код, состоящий из буквенного обозначения "ТЦ" и пяти групп цифр: первая группа цифр соответствует коду группы Классификатора строительных ресурсов (далее - КСР), состоящей из четырех групп цифр, к которой отно</w:t>
      </w:r>
      <w:r>
        <w:t xml:space="preserve">сится строительный ресурс, вторая - коду субъекта Российской Федерации, на территории которого находится производитель (поставщик), третья группа цифр содержит данные об ИНН производителя (поставщика), четвертая соответствует уровню ценовых показателей (в </w:t>
      </w:r>
      <w:r>
        <w:t xml:space="preserve">формате ДД.ММ.ГГГГ) в соответствии с обосновывающими отпускную цену документами, пятая группа цифр содержит указание на учет в отпускной цене затрат на перевозку строительного ресурса (01 - с учетом затрат на перевозку, 02 - без учета затрат на перевозку).</w:t>
      </w:r>
      <w:r/>
    </w:p>
    <w:p>
      <w:pPr>
        <w:pStyle w:val="1002"/>
        <w:ind w:left="0" w:firstLine="709"/>
        <w:jc w:val="both"/>
      </w:pPr>
      <w:r>
        <w:t xml:space="preserve">11. Вместо кода группы допускается указывать код раздела (части, книги) с указанием нулей в недостающих группах цифр, например, 64.4.00.00. Для материальных р</w:t>
      </w:r>
      <w:r>
        <w:t xml:space="preserve">есурсов и оборудования, не подлежащих включению в КСР, вместо кода группы указывается следующая комбинация цифр: 101 - для технологического оборудования, 102 - для материальных ресурсов индивидуального изготовления, 103 - для инженерного оборудования индив</w:t>
      </w:r>
      <w:r>
        <w:t xml:space="preserve">идуального изготовления, 104 - для производственного и хозяйственного инвентаря, в том числе мебели, 105 - для лабораторного оборудования, 106 - для транспортных средств, 107 - для инструмента, используемого в целях осуществления технологических процессов.</w:t>
      </w:r>
      <w:r/>
    </w:p>
    <w:p>
      <w:pPr>
        <w:pStyle w:val="1002"/>
        <w:ind w:left="0" w:firstLine="709"/>
        <w:jc w:val="both"/>
      </w:pPr>
      <w:r>
        <w:t xml:space="preserve">12. Образец оформления конъюнктурного анализа </w:t>
      </w:r>
      <w:r/>
    </w:p>
    <w:p>
      <w:pPr>
        <w:jc w:val="center"/>
        <w:rPr>
          <w:sz w:val="24"/>
          <w:szCs w:val="24"/>
          <w:highlight w:val="yellow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1659264" behindDoc="0" locked="0" layoutInCell="1" allowOverlap="1">
                <wp:simplePos x="0" y="0"/>
                <wp:positionH relativeFrom="column">
                  <wp:posOffset>-93346</wp:posOffset>
                </wp:positionH>
                <wp:positionV relativeFrom="paragraph">
                  <wp:posOffset>145415</wp:posOffset>
                </wp:positionV>
                <wp:extent cx="6924675" cy="3505200"/>
                <wp:effectExtent l="0" t="0" r="9525" b="0"/>
                <wp:wrapSquare wrapText="bothSides"/>
                <wp:docPr id="2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54144593" name=""/>
                        <pic:cNvPicPr/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6924675" cy="35051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251659264;o:allowoverlap:true;o:allowincell:true;mso-position-horizontal-relative:text;margin-left:-7.35pt;mso-position-horizontal:absolute;mso-position-vertical-relative:text;margin-top:11.45pt;mso-position-vertical:absolute;width:545.25pt;height:276.00pt;mso-wrap-distance-left:0.00pt;mso-wrap-distance-top:0.00pt;mso-wrap-distance-right:0.00pt;mso-wrap-distance-bottom:0.00pt;" stroked="f">
                <v:path textboxrect="0,0,0,0"/>
                <w10:wrap type="square"/>
                <v:imagedata r:id="rId14" o:title=""/>
              </v:shape>
            </w:pict>
          </mc:Fallback>
        </mc:AlternateConten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</w:pPr>
      <w:r>
        <w:rPr>
          <w:sz w:val="24"/>
          <w:szCs w:val="24"/>
        </w:rPr>
        <w:t xml:space="preserve">Составил______________________________________________</w:t>
      </w:r>
      <w:r/>
    </w:p>
    <w:p>
      <w:pPr>
        <w:ind w:firstLine="709"/>
      </w:pPr>
      <w:r>
        <w:rPr>
          <w:sz w:val="24"/>
          <w:szCs w:val="24"/>
        </w:rPr>
        <w:t xml:space="preserve">                               (должность, подпись (инициалы, фамилия)</w:t>
      </w:r>
      <w:r/>
    </w:p>
    <w:p>
      <w:pPr>
        <w:pStyle w:val="1002"/>
        <w:ind w:left="0" w:firstLine="709"/>
        <w:jc w:val="both"/>
      </w:pPr>
      <w:r>
        <w:t xml:space="preserve">Проверил_______________________________________________</w:t>
      </w:r>
      <w:r/>
    </w:p>
    <w:p>
      <w:pPr>
        <w:pStyle w:val="1002"/>
        <w:ind w:left="0" w:firstLine="709"/>
        <w:jc w:val="both"/>
      </w:pPr>
      <w:r>
        <w:t xml:space="preserve">                                (должность, подпись (инициалы, фамилия)</w:t>
      </w:r>
      <w:r/>
    </w:p>
    <w:p>
      <w:pPr>
        <w:pStyle w:val="1002"/>
        <w:ind w:left="0" w:firstLine="709"/>
        <w:jc w:val="both"/>
      </w:pPr>
      <w:r/>
      <w:r/>
    </w:p>
    <w:p>
      <w:pPr>
        <w:pStyle w:val="1002"/>
        <w:ind w:left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Примечание.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002"/>
        <w:ind w:left="0"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002"/>
        <w:ind w:left="0"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002"/>
        <w:ind w:left="0"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3. Анализируются сопоставимые элементы стоимости материальных ресурсов (отпускные цены, сметные с учетом транспортных затрат), затрат.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002"/>
        <w:ind w:left="0"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4. В случае, если текущая отпускная цена за ед. изм. в обосновывающем документе указана с учетом доставки до приобъектного склада, то графа 9 не заполняется.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002"/>
        <w:ind w:left="0"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5. Данные граф 2, 4, 9 - 11, 20 для прочих затрат заполняются при их наличии.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002"/>
        <w:ind w:left="0"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6. При отсутствии в обосновывающих стоимост</w:t>
      </w:r>
      <w:r>
        <w:rPr>
          <w:i/>
          <w:sz w:val="20"/>
          <w:szCs w:val="20"/>
        </w:rPr>
        <w:t xml:space="preserve">ь материальных ресурсов, оборудования, работ и услуг документах производителей и (или) поставщиков сведений по графам 16 - 20 соответствующие графы формы конъюнктурного анализа заполняются на основании информации из открытых и (или) официальных источников.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002"/>
        <w:ind w:left="0"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7. При отсутствии у производителя (поставщика) веб-сайта графа 18 не заполняется.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002"/>
        <w:ind w:left="0"/>
        <w:jc w:val="both"/>
      </w:pPr>
      <w:r/>
      <w:r/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568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13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7"/>
      <w:rPr>
        <w:rStyle w:val="969"/>
      </w:rPr>
      <w:framePr w:wrap="around" w:vAnchor="text" w:hAnchor="margin" w:xAlign="center" w:y="1"/>
    </w:pPr>
    <w:r>
      <w:rPr>
        <w:rStyle w:val="969"/>
      </w:rPr>
      <w:fldChar w:fldCharType="begin"/>
    </w:r>
    <w:r>
      <w:rPr>
        <w:rStyle w:val="969"/>
      </w:rPr>
      <w:instrText xml:space="preserve">PAGE  </w:instrText>
    </w:r>
    <w:r>
      <w:rPr>
        <w:rStyle w:val="969"/>
      </w:rPr>
      <w:fldChar w:fldCharType="separate"/>
    </w:r>
    <w:r>
      <w:rPr>
        <w:rStyle w:val="969"/>
      </w:rPr>
      <w:t xml:space="preserve">6</w:t>
    </w:r>
    <w:r>
      <w:rPr>
        <w:rStyle w:val="969"/>
      </w:rPr>
      <w:fldChar w:fldCharType="end"/>
    </w:r>
    <w:r>
      <w:rPr>
        <w:rStyle w:val="969"/>
      </w:rPr>
    </w:r>
    <w:r>
      <w:rPr>
        <w:rStyle w:val="969"/>
      </w:rPr>
    </w:r>
  </w:p>
  <w:p>
    <w:pPr>
      <w:pStyle w:val="95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7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952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pStyle w:val="1048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36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37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40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38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39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4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50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7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styleLink w:val="1026"/>
    <w:lvl w:ilvl="0">
      <w:start w:val="3"/>
      <w:numFmt w:val="decimal"/>
      <w:pStyle w:val="1026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4"/>
      <w:numFmt w:val="bullet"/>
      <w:pStyle w:val="1017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18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16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pStyle w:val="791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94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93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0" w:firstLine="0"/>
      </w:pPr>
      <w:rPr>
        <w:rFonts w:hint="default" w:ascii="Symbol" w:hAnsi="Symbo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47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34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5" w:hanging="360"/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5" w:hanging="180"/>
      </w:pPr>
    </w:lvl>
  </w:abstractNum>
  <w:abstractNum w:abstractNumId="25">
    <w:multiLevelType w:val="hybridMultilevel"/>
    <w:styleLink w:val="1030"/>
    <w:lvl w:ilvl="0">
      <w:start w:val="1"/>
      <w:numFmt w:val="decimal"/>
      <w:pStyle w:val="1030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</w:pPr>
      <w:rPr>
        <w:rFonts w:hint="default" w:ascii="Symbol" w:hAnsi="Symbol"/>
        <w:b w:val="0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16"/>
  </w:num>
  <w:num w:numId="4">
    <w:abstractNumId w:val="19"/>
  </w:num>
  <w:num w:numId="5">
    <w:abstractNumId w:val="25"/>
  </w:num>
  <w:num w:numId="6">
    <w:abstractNumId w:val="11"/>
  </w:num>
  <w:num w:numId="7">
    <w:abstractNumId w:val="5"/>
  </w:num>
  <w:num w:numId="8">
    <w:abstractNumId w:val="22"/>
  </w:num>
  <w:num w:numId="9">
    <w:abstractNumId w:val="18"/>
  </w:num>
  <w:num w:numId="10">
    <w:abstractNumId w:val="2"/>
  </w:num>
  <w:num w:numId="11">
    <w:abstractNumId w:val="1"/>
  </w:num>
  <w:num w:numId="12">
    <w:abstractNumId w:val="29"/>
  </w:num>
  <w:num w:numId="13">
    <w:abstractNumId w:val="15"/>
  </w:num>
  <w:num w:numId="14">
    <w:abstractNumId w:val="24"/>
  </w:num>
  <w:num w:numId="15">
    <w:abstractNumId w:val="21"/>
  </w:num>
  <w:num w:numId="16">
    <w:abstractNumId w:val="9"/>
  </w:num>
  <w:num w:numId="17">
    <w:abstractNumId w:val="20"/>
  </w:num>
  <w:num w:numId="18">
    <w:abstractNumId w:val="32"/>
  </w:num>
  <w:num w:numId="19">
    <w:abstractNumId w:val="27"/>
  </w:num>
  <w:num w:numId="20">
    <w:abstractNumId w:val="31"/>
  </w:num>
  <w:num w:numId="21">
    <w:abstractNumId w:val="8"/>
  </w:num>
  <w:num w:numId="22">
    <w:abstractNumId w:val="0"/>
  </w:num>
  <w:num w:numId="23">
    <w:abstractNumId w:val="23"/>
  </w:num>
  <w:num w:numId="24">
    <w:abstractNumId w:val="28"/>
  </w:num>
  <w:num w:numId="25">
    <w:abstractNumId w:val="6"/>
  </w:num>
  <w:num w:numId="26">
    <w:abstractNumId w:val="7"/>
  </w:num>
  <w:num w:numId="27">
    <w:abstractNumId w:val="26"/>
  </w:num>
  <w:num w:numId="28">
    <w:abstractNumId w:val="4"/>
  </w:num>
  <w:num w:numId="29">
    <w:abstractNumId w:val="14"/>
  </w:num>
  <w:num w:numId="30">
    <w:abstractNumId w:val="3"/>
  </w:num>
  <w:num w:numId="31">
    <w:abstractNumId w:val="13"/>
  </w:num>
  <w:num w:numId="32">
    <w:abstractNumId w:val="30"/>
  </w:num>
  <w:num w:numId="33">
    <w:abstractNumId w:val="10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eachPage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9">
    <w:name w:val="Title Char"/>
    <w:basedOn w:val="800"/>
    <w:link w:val="812"/>
    <w:uiPriority w:val="10"/>
    <w:rPr>
      <w:sz w:val="48"/>
      <w:szCs w:val="48"/>
    </w:rPr>
  </w:style>
  <w:style w:type="character" w:styleId="770">
    <w:name w:val="Caption Char"/>
    <w:basedOn w:val="997"/>
    <w:link w:val="960"/>
    <w:uiPriority w:val="99"/>
  </w:style>
  <w:style w:type="table" w:styleId="771">
    <w:name w:val="Plain Table 1"/>
    <w:basedOn w:val="8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2"/>
    <w:basedOn w:val="80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3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4">
    <w:name w:val="Plain Table 4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Plain Table 5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6">
    <w:name w:val="Grid Table 1 Light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2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4"/>
    <w:basedOn w:val="8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0">
    <w:name w:val="Grid Table 5 Dark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1">
    <w:name w:val="Grid Table 6 Colorful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2">
    <w:name w:val="Grid Table 7 Colorful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2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5">
    <w:name w:val="List Table 3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6 Colorful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9">
    <w:name w:val="List Table 7 Colorful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90" w:default="1">
    <w:name w:val="Normal"/>
    <w:qFormat/>
    <w:rPr>
      <w:sz w:val="28"/>
      <w:szCs w:val="28"/>
    </w:rPr>
  </w:style>
  <w:style w:type="paragraph" w:styleId="791">
    <w:name w:val="Heading 1"/>
    <w:basedOn w:val="793"/>
    <w:next w:val="790"/>
    <w:link w:val="989"/>
    <w:qFormat/>
    <w:pPr>
      <w:numPr>
        <w:ilvl w:val="0"/>
      </w:numPr>
      <w:outlineLvl w:val="0"/>
    </w:pPr>
    <w:rPr>
      <w:sz w:val="28"/>
      <w:szCs w:val="28"/>
    </w:rPr>
  </w:style>
  <w:style w:type="paragraph" w:styleId="792">
    <w:name w:val="Heading 2"/>
    <w:basedOn w:val="794"/>
    <w:next w:val="790"/>
    <w:link w:val="991"/>
    <w:qFormat/>
    <w:pPr>
      <w:outlineLvl w:val="1"/>
    </w:pPr>
  </w:style>
  <w:style w:type="paragraph" w:styleId="793">
    <w:name w:val="Heading 3"/>
    <w:basedOn w:val="790"/>
    <w:next w:val="790"/>
    <w:link w:val="992"/>
    <w:qFormat/>
    <w:pPr>
      <w:numPr>
        <w:ilvl w:val="2"/>
        <w:numId w:val="4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794">
    <w:name w:val="Heading 4"/>
    <w:basedOn w:val="793"/>
    <w:next w:val="790"/>
    <w:link w:val="993"/>
    <w:qFormat/>
    <w:pPr>
      <w:numPr>
        <w:ilvl w:val="1"/>
      </w:numPr>
      <w:outlineLvl w:val="3"/>
    </w:pPr>
    <w:rPr>
      <w:bCs/>
    </w:rPr>
  </w:style>
  <w:style w:type="paragraph" w:styleId="795">
    <w:name w:val="Heading 5"/>
    <w:basedOn w:val="790"/>
    <w:next w:val="790"/>
    <w:link w:val="994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96">
    <w:name w:val="Heading 6"/>
    <w:basedOn w:val="790"/>
    <w:next w:val="790"/>
    <w:link w:val="986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97">
    <w:name w:val="Heading 7"/>
    <w:basedOn w:val="790"/>
    <w:next w:val="790"/>
    <w:link w:val="987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98">
    <w:name w:val="Heading 8"/>
    <w:basedOn w:val="790"/>
    <w:next w:val="790"/>
    <w:link w:val="988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99">
    <w:name w:val="Heading 9"/>
    <w:basedOn w:val="790"/>
    <w:next w:val="790"/>
    <w:link w:val="995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00" w:default="1">
    <w:name w:val="Default Paragraph Font"/>
    <w:uiPriority w:val="1"/>
    <w:semiHidden/>
    <w:unhideWhenUsed/>
  </w:style>
  <w:style w:type="table" w:styleId="80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2" w:default="1">
    <w:name w:val="No List"/>
    <w:uiPriority w:val="99"/>
    <w:semiHidden/>
    <w:unhideWhenUsed/>
  </w:style>
  <w:style w:type="character" w:styleId="803" w:customStyle="1">
    <w:name w:val="Heading 1 Char"/>
    <w:basedOn w:val="800"/>
    <w:uiPriority w:val="9"/>
    <w:rPr>
      <w:rFonts w:ascii="Arial" w:hAnsi="Arial" w:eastAsia="Arial" w:cs="Arial"/>
      <w:sz w:val="40"/>
      <w:szCs w:val="40"/>
    </w:rPr>
  </w:style>
  <w:style w:type="character" w:styleId="804" w:customStyle="1">
    <w:name w:val="Heading 2 Char"/>
    <w:basedOn w:val="800"/>
    <w:uiPriority w:val="9"/>
    <w:rPr>
      <w:rFonts w:ascii="Arial" w:hAnsi="Arial" w:eastAsia="Arial" w:cs="Arial"/>
      <w:sz w:val="34"/>
    </w:rPr>
  </w:style>
  <w:style w:type="character" w:styleId="805" w:customStyle="1">
    <w:name w:val="Heading 3 Char"/>
    <w:basedOn w:val="800"/>
    <w:uiPriority w:val="9"/>
    <w:rPr>
      <w:rFonts w:ascii="Arial" w:hAnsi="Arial" w:eastAsia="Arial" w:cs="Arial"/>
      <w:sz w:val="30"/>
      <w:szCs w:val="30"/>
    </w:rPr>
  </w:style>
  <w:style w:type="character" w:styleId="806" w:customStyle="1">
    <w:name w:val="Heading 4 Char"/>
    <w:basedOn w:val="800"/>
    <w:uiPriority w:val="9"/>
    <w:rPr>
      <w:rFonts w:ascii="Arial" w:hAnsi="Arial" w:eastAsia="Arial" w:cs="Arial"/>
      <w:b/>
      <w:bCs/>
      <w:sz w:val="26"/>
      <w:szCs w:val="26"/>
    </w:rPr>
  </w:style>
  <w:style w:type="character" w:styleId="807" w:customStyle="1">
    <w:name w:val="Heading 5 Char"/>
    <w:basedOn w:val="800"/>
    <w:uiPriority w:val="9"/>
    <w:rPr>
      <w:rFonts w:ascii="Arial" w:hAnsi="Arial" w:eastAsia="Arial" w:cs="Arial"/>
      <w:b/>
      <w:bCs/>
      <w:sz w:val="24"/>
      <w:szCs w:val="24"/>
    </w:rPr>
  </w:style>
  <w:style w:type="character" w:styleId="808" w:customStyle="1">
    <w:name w:val="Heading 6 Char"/>
    <w:basedOn w:val="800"/>
    <w:uiPriority w:val="9"/>
    <w:rPr>
      <w:rFonts w:ascii="Arial" w:hAnsi="Arial" w:eastAsia="Arial" w:cs="Arial"/>
      <w:b/>
      <w:bCs/>
      <w:sz w:val="22"/>
      <w:szCs w:val="22"/>
    </w:rPr>
  </w:style>
  <w:style w:type="character" w:styleId="809" w:customStyle="1">
    <w:name w:val="Heading 7 Char"/>
    <w:basedOn w:val="8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0" w:customStyle="1">
    <w:name w:val="Heading 8 Char"/>
    <w:basedOn w:val="800"/>
    <w:uiPriority w:val="9"/>
    <w:rPr>
      <w:rFonts w:ascii="Arial" w:hAnsi="Arial" w:eastAsia="Arial" w:cs="Arial"/>
      <w:i/>
      <w:iCs/>
      <w:sz w:val="22"/>
      <w:szCs w:val="22"/>
    </w:rPr>
  </w:style>
  <w:style w:type="character" w:styleId="811" w:customStyle="1">
    <w:name w:val="Heading 9 Char"/>
    <w:basedOn w:val="800"/>
    <w:uiPriority w:val="9"/>
    <w:rPr>
      <w:rFonts w:ascii="Arial" w:hAnsi="Arial" w:eastAsia="Arial" w:cs="Arial"/>
      <w:i/>
      <w:iCs/>
      <w:sz w:val="21"/>
      <w:szCs w:val="21"/>
    </w:rPr>
  </w:style>
  <w:style w:type="paragraph" w:styleId="812">
    <w:name w:val="Title"/>
    <w:basedOn w:val="790"/>
    <w:next w:val="790"/>
    <w:link w:val="8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13" w:customStyle="1">
    <w:name w:val="Заголовок Знак"/>
    <w:basedOn w:val="800"/>
    <w:link w:val="812"/>
    <w:uiPriority w:val="10"/>
    <w:rPr>
      <w:sz w:val="48"/>
      <w:szCs w:val="48"/>
    </w:rPr>
  </w:style>
  <w:style w:type="character" w:styleId="814" w:customStyle="1">
    <w:name w:val="Subtitle Char"/>
    <w:basedOn w:val="800"/>
    <w:uiPriority w:val="11"/>
    <w:rPr>
      <w:sz w:val="24"/>
      <w:szCs w:val="24"/>
    </w:rPr>
  </w:style>
  <w:style w:type="character" w:styleId="815" w:customStyle="1">
    <w:name w:val="Quote Char"/>
    <w:uiPriority w:val="29"/>
    <w:rPr>
      <w:i/>
    </w:rPr>
  </w:style>
  <w:style w:type="character" w:styleId="816" w:customStyle="1">
    <w:name w:val="Intense Quote Char"/>
    <w:uiPriority w:val="30"/>
    <w:rPr>
      <w:i/>
    </w:rPr>
  </w:style>
  <w:style w:type="character" w:styleId="817" w:customStyle="1">
    <w:name w:val="Header Char"/>
    <w:basedOn w:val="800"/>
    <w:uiPriority w:val="99"/>
  </w:style>
  <w:style w:type="character" w:styleId="818" w:customStyle="1">
    <w:name w:val="Footer Char"/>
    <w:basedOn w:val="800"/>
    <w:uiPriority w:val="99"/>
  </w:style>
  <w:style w:type="character" w:styleId="819" w:customStyle="1">
    <w:name w:val="Нижний колонтитул Знак"/>
    <w:link w:val="960"/>
    <w:uiPriority w:val="99"/>
  </w:style>
  <w:style w:type="table" w:styleId="820" w:customStyle="1">
    <w:name w:val="Table Grid Light"/>
    <w:basedOn w:val="80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1" w:customStyle="1">
    <w:name w:val="Таблица простая 11"/>
    <w:basedOn w:val="80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2" w:customStyle="1">
    <w:name w:val="Таблица простая 21"/>
    <w:basedOn w:val="80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3" w:customStyle="1">
    <w:name w:val="Таблица простая 31"/>
    <w:basedOn w:val="80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4" w:customStyle="1">
    <w:name w:val="Таблица простая 41"/>
    <w:basedOn w:val="80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Таблица простая 51"/>
    <w:basedOn w:val="80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6" w:customStyle="1">
    <w:name w:val="Таблица-сетка 1 светлая1"/>
    <w:basedOn w:val="80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Grid Table 1 Light - Accent 1"/>
    <w:basedOn w:val="80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Grid Table 1 Light - Accent 2"/>
    <w:basedOn w:val="80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Grid Table 1 Light - Accent 3"/>
    <w:basedOn w:val="80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4"/>
    <w:basedOn w:val="80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5"/>
    <w:basedOn w:val="80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6"/>
    <w:basedOn w:val="80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Таблица-сетка 21"/>
    <w:basedOn w:val="80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2 - Accent 1"/>
    <w:basedOn w:val="80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2"/>
    <w:basedOn w:val="80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2 - Accent 3"/>
    <w:basedOn w:val="80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4"/>
    <w:basedOn w:val="80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5"/>
    <w:basedOn w:val="80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6"/>
    <w:basedOn w:val="80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Таблица-сетка 31"/>
    <w:basedOn w:val="80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3 - Accent 1"/>
    <w:basedOn w:val="80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2"/>
    <w:basedOn w:val="80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3 - Accent 3"/>
    <w:basedOn w:val="80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4"/>
    <w:basedOn w:val="80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5"/>
    <w:basedOn w:val="80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6"/>
    <w:basedOn w:val="80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Таблица-сетка 41"/>
    <w:basedOn w:val="80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8" w:customStyle="1">
    <w:name w:val="Grid Table 4 - Accent 1"/>
    <w:basedOn w:val="801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49" w:customStyle="1">
    <w:name w:val="Grid Table 4 - Accent 2"/>
    <w:basedOn w:val="80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50" w:customStyle="1">
    <w:name w:val="Grid Table 4 - Accent 3"/>
    <w:basedOn w:val="80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51" w:customStyle="1">
    <w:name w:val="Grid Table 4 - Accent 4"/>
    <w:basedOn w:val="80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52" w:customStyle="1">
    <w:name w:val="Grid Table 4 - Accent 5"/>
    <w:basedOn w:val="801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53" w:customStyle="1">
    <w:name w:val="Grid Table 4 - Accent 6"/>
    <w:basedOn w:val="80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54" w:customStyle="1">
    <w:name w:val="Таблица-сетка 5 темная1"/>
    <w:basedOn w:val="8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5 Dark- Accent 1"/>
    <w:basedOn w:val="8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 - Accent 2"/>
    <w:basedOn w:val="8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57" w:customStyle="1">
    <w:name w:val="Grid Table 5 Dark - Accent 3"/>
    <w:basedOn w:val="8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- Accent 4"/>
    <w:basedOn w:val="8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 - Accent 5"/>
    <w:basedOn w:val="8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 - Accent 6"/>
    <w:basedOn w:val="8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61" w:customStyle="1">
    <w:name w:val="Таблица-сетка 6 цветная1"/>
    <w:basedOn w:val="80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2" w:customStyle="1">
    <w:name w:val="Grid Table 6 Colorful - Accent 1"/>
    <w:basedOn w:val="801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63" w:customStyle="1">
    <w:name w:val="Grid Table 6 Colorful - Accent 2"/>
    <w:basedOn w:val="80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64" w:customStyle="1">
    <w:name w:val="Grid Table 6 Colorful - Accent 3"/>
    <w:basedOn w:val="80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65" w:customStyle="1">
    <w:name w:val="Grid Table 6 Colorful - Accent 4"/>
    <w:basedOn w:val="80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66" w:customStyle="1">
    <w:name w:val="Grid Table 6 Colorful - Accent 5"/>
    <w:basedOn w:val="801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67" w:customStyle="1">
    <w:name w:val="Grid Table 6 Colorful - Accent 6"/>
    <w:basedOn w:val="80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68" w:customStyle="1">
    <w:name w:val="Таблица-сетка 7 цветная1"/>
    <w:basedOn w:val="80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Grid Table 7 Colorful - Accent 1"/>
    <w:basedOn w:val="801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Grid Table 7 Colorful - Accent 2"/>
    <w:basedOn w:val="80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Grid Table 7 Colorful - Accent 3"/>
    <w:basedOn w:val="80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Grid Table 7 Colorful - Accent 4"/>
    <w:basedOn w:val="80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Grid Table 7 Colorful - Accent 5"/>
    <w:basedOn w:val="801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Grid Table 7 Colorful - Accent 6"/>
    <w:basedOn w:val="80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5" w:customStyle="1">
    <w:name w:val="Список-таблица 1 светлая1"/>
    <w:basedOn w:val="80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1 Light - Accent 1"/>
    <w:basedOn w:val="801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2"/>
    <w:basedOn w:val="801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1 Light - Accent 3"/>
    <w:basedOn w:val="801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4"/>
    <w:basedOn w:val="801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5"/>
    <w:basedOn w:val="801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6"/>
    <w:basedOn w:val="801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Список-таблица 21"/>
    <w:basedOn w:val="80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3" w:customStyle="1">
    <w:name w:val="List Table 2 - Accent 1"/>
    <w:basedOn w:val="801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84" w:customStyle="1">
    <w:name w:val="List Table 2 - Accent 2"/>
    <w:basedOn w:val="80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85" w:customStyle="1">
    <w:name w:val="List Table 2 - Accent 3"/>
    <w:basedOn w:val="80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4"/>
    <w:basedOn w:val="80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87" w:customStyle="1">
    <w:name w:val="List Table 2 - Accent 5"/>
    <w:basedOn w:val="801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6"/>
    <w:basedOn w:val="80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89" w:customStyle="1">
    <w:name w:val="Список-таблица 31"/>
    <w:basedOn w:val="80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3 - Accent 1"/>
    <w:basedOn w:val="801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3 - Accent 2"/>
    <w:basedOn w:val="80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3 - Accent 3"/>
    <w:basedOn w:val="80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4"/>
    <w:basedOn w:val="80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5"/>
    <w:basedOn w:val="801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6"/>
    <w:basedOn w:val="80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Список-таблица 41"/>
    <w:basedOn w:val="80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4 - Accent 1"/>
    <w:basedOn w:val="801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4 - Accent 2"/>
    <w:basedOn w:val="80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4 - Accent 3"/>
    <w:basedOn w:val="80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4"/>
    <w:basedOn w:val="80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5"/>
    <w:basedOn w:val="801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6"/>
    <w:basedOn w:val="80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Список-таблица 5 темная1"/>
    <w:basedOn w:val="80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 w:customStyle="1">
    <w:name w:val="List Table 5 Dark - Accent 1"/>
    <w:basedOn w:val="801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5" w:customStyle="1">
    <w:name w:val="List Table 5 Dark - Accent 2"/>
    <w:basedOn w:val="80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 w:customStyle="1">
    <w:name w:val="List Table 5 Dark - Accent 3"/>
    <w:basedOn w:val="80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4"/>
    <w:basedOn w:val="80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5"/>
    <w:basedOn w:val="801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6"/>
    <w:basedOn w:val="80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Список-таблица 6 цветная1"/>
    <w:basedOn w:val="80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1" w:customStyle="1">
    <w:name w:val="List Table 6 Colorful - Accent 1"/>
    <w:basedOn w:val="801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12" w:customStyle="1">
    <w:name w:val="List Table 6 Colorful - Accent 2"/>
    <w:basedOn w:val="80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13" w:customStyle="1">
    <w:name w:val="List Table 6 Colorful - Accent 3"/>
    <w:basedOn w:val="80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14" w:customStyle="1">
    <w:name w:val="List Table 6 Colorful - Accent 4"/>
    <w:basedOn w:val="80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15" w:customStyle="1">
    <w:name w:val="List Table 6 Colorful - Accent 5"/>
    <w:basedOn w:val="801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16" w:customStyle="1">
    <w:name w:val="List Table 6 Colorful - Accent 6"/>
    <w:basedOn w:val="80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17" w:customStyle="1">
    <w:name w:val="Список-таблица 7 цветная1"/>
    <w:basedOn w:val="80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8" w:customStyle="1">
    <w:name w:val="List Table 7 Colorful - Accent 1"/>
    <w:basedOn w:val="801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9" w:customStyle="1">
    <w:name w:val="List Table 7 Colorful - Accent 2"/>
    <w:basedOn w:val="80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0" w:customStyle="1">
    <w:name w:val="List Table 7 Colorful - Accent 3"/>
    <w:basedOn w:val="80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1" w:customStyle="1">
    <w:name w:val="List Table 7 Colorful - Accent 4"/>
    <w:basedOn w:val="80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2" w:customStyle="1">
    <w:name w:val="List Table 7 Colorful - Accent 5"/>
    <w:basedOn w:val="801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3" w:customStyle="1">
    <w:name w:val="List Table 7 Colorful - Accent 6"/>
    <w:basedOn w:val="80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4" w:customStyle="1">
    <w:name w:val="Lined - Accent"/>
    <w:basedOn w:val="8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5" w:customStyle="1">
    <w:name w:val="Lined - Accent 1"/>
    <w:basedOn w:val="8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26" w:customStyle="1">
    <w:name w:val="Lined - Accent 2"/>
    <w:basedOn w:val="8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7" w:customStyle="1">
    <w:name w:val="Lined - Accent 3"/>
    <w:basedOn w:val="8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28" w:customStyle="1">
    <w:name w:val="Lined - Accent 4"/>
    <w:basedOn w:val="8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29" w:customStyle="1">
    <w:name w:val="Lined - Accent 5"/>
    <w:basedOn w:val="8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30" w:customStyle="1">
    <w:name w:val="Lined - Accent 6"/>
    <w:basedOn w:val="8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31" w:customStyle="1">
    <w:name w:val="Bordered &amp; Lined - Accent"/>
    <w:basedOn w:val="80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2" w:customStyle="1">
    <w:name w:val="Bordered &amp; Lined - Accent 1"/>
    <w:basedOn w:val="801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33" w:customStyle="1">
    <w:name w:val="Bordered &amp; Lined - Accent 2"/>
    <w:basedOn w:val="801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34" w:customStyle="1">
    <w:name w:val="Bordered &amp; Lined - Accent 3"/>
    <w:basedOn w:val="801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35" w:customStyle="1">
    <w:name w:val="Bordered &amp; Lined - Accent 4"/>
    <w:basedOn w:val="801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36" w:customStyle="1">
    <w:name w:val="Bordered &amp; Lined - Accent 5"/>
    <w:basedOn w:val="801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37" w:customStyle="1">
    <w:name w:val="Bordered &amp; Lined - Accent 6"/>
    <w:basedOn w:val="801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38" w:customStyle="1">
    <w:name w:val="Bordered"/>
    <w:basedOn w:val="80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9" w:customStyle="1">
    <w:name w:val="Bordered - Accent 1"/>
    <w:basedOn w:val="80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40" w:customStyle="1">
    <w:name w:val="Bordered - Accent 2"/>
    <w:basedOn w:val="80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41" w:customStyle="1">
    <w:name w:val="Bordered - Accent 3"/>
    <w:basedOn w:val="80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42" w:customStyle="1">
    <w:name w:val="Bordered - Accent 4"/>
    <w:basedOn w:val="80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43" w:customStyle="1">
    <w:name w:val="Bordered - Accent 5"/>
    <w:basedOn w:val="80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44" w:customStyle="1">
    <w:name w:val="Bordered - Accent 6"/>
    <w:basedOn w:val="80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45" w:customStyle="1">
    <w:name w:val="Footnote Text Char"/>
    <w:uiPriority w:val="99"/>
    <w:rPr>
      <w:sz w:val="18"/>
    </w:rPr>
  </w:style>
  <w:style w:type="character" w:styleId="946" w:customStyle="1">
    <w:name w:val="Endnote Text Char"/>
    <w:uiPriority w:val="99"/>
    <w:rPr>
      <w:sz w:val="20"/>
    </w:rPr>
  </w:style>
  <w:style w:type="paragraph" w:styleId="947">
    <w:name w:val="table of figures"/>
    <w:basedOn w:val="790"/>
    <w:next w:val="790"/>
    <w:uiPriority w:val="99"/>
    <w:unhideWhenUsed/>
  </w:style>
  <w:style w:type="paragraph" w:styleId="948" w:customStyle="1">
    <w:name w:val="Название раздела инструкции"/>
    <w:basedOn w:val="790"/>
    <w:pPr>
      <w:jc w:val="center"/>
    </w:pPr>
    <w:rPr>
      <w:b/>
    </w:rPr>
  </w:style>
  <w:style w:type="paragraph" w:styleId="949" w:customStyle="1">
    <w:name w:val="Раздел положения"/>
    <w:basedOn w:val="790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50" w:customStyle="1">
    <w:name w:val="Подраздел раздела положения"/>
    <w:basedOn w:val="790"/>
    <w:pPr>
      <w:numPr>
        <w:ilvl w:val="1"/>
        <w:numId w:val="1"/>
      </w:numPr>
      <w:jc w:val="both"/>
      <w:spacing w:before="80" w:after="80"/>
    </w:pPr>
  </w:style>
  <w:style w:type="paragraph" w:styleId="951">
    <w:name w:val="footnote text"/>
    <w:basedOn w:val="790"/>
    <w:link w:val="1025"/>
    <w:uiPriority w:val="99"/>
    <w:rPr>
      <w:sz w:val="20"/>
      <w:szCs w:val="20"/>
    </w:rPr>
  </w:style>
  <w:style w:type="character" w:styleId="952">
    <w:name w:val="footnote reference"/>
    <w:uiPriority w:val="99"/>
    <w:rPr>
      <w:vertAlign w:val="superscript"/>
    </w:rPr>
  </w:style>
  <w:style w:type="paragraph" w:styleId="953" w:customStyle="1">
    <w:name w:val="Шапка 1"/>
    <w:basedOn w:val="790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54" w:customStyle="1">
    <w:name w:val="Шапка 2"/>
    <w:basedOn w:val="790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55" w:customStyle="1">
    <w:name w:val="Шапка 3"/>
    <w:basedOn w:val="790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56" w:customStyle="1">
    <w:name w:val="Название1"/>
    <w:basedOn w:val="790"/>
    <w:link w:val="998"/>
    <w:uiPriority w:val="10"/>
    <w:qFormat/>
    <w:pPr>
      <w:jc w:val="center"/>
    </w:pPr>
    <w:rPr>
      <w:szCs w:val="20"/>
    </w:rPr>
  </w:style>
  <w:style w:type="paragraph" w:styleId="957">
    <w:name w:val="Header"/>
    <w:basedOn w:val="790"/>
    <w:link w:val="1042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58">
    <w:name w:val="Body Text Indent"/>
    <w:basedOn w:val="790"/>
    <w:pPr>
      <w:ind w:left="360"/>
    </w:pPr>
    <w:rPr>
      <w:sz w:val="24"/>
      <w:szCs w:val="24"/>
    </w:rPr>
  </w:style>
  <w:style w:type="table" w:styleId="959">
    <w:name w:val="Table Grid"/>
    <w:basedOn w:val="801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0">
    <w:name w:val="Footer"/>
    <w:basedOn w:val="790"/>
    <w:link w:val="819"/>
    <w:pPr>
      <w:tabs>
        <w:tab w:val="center" w:pos="4677" w:leader="none"/>
        <w:tab w:val="right" w:pos="9355" w:leader="none"/>
      </w:tabs>
    </w:pPr>
  </w:style>
  <w:style w:type="paragraph" w:styleId="961">
    <w:name w:val="Body Text"/>
    <w:basedOn w:val="790"/>
    <w:link w:val="1028"/>
    <w:pPr>
      <w:spacing w:after="120"/>
    </w:pPr>
  </w:style>
  <w:style w:type="paragraph" w:styleId="962">
    <w:name w:val="Body Text Indent 2"/>
    <w:basedOn w:val="790"/>
    <w:pPr>
      <w:ind w:left="283"/>
      <w:spacing w:after="120" w:line="480" w:lineRule="auto"/>
    </w:pPr>
  </w:style>
  <w:style w:type="paragraph" w:styleId="963">
    <w:name w:val="Body Text 3"/>
    <w:basedOn w:val="790"/>
    <w:pPr>
      <w:spacing w:after="120"/>
    </w:pPr>
    <w:rPr>
      <w:sz w:val="16"/>
      <w:szCs w:val="16"/>
    </w:rPr>
  </w:style>
  <w:style w:type="paragraph" w:styleId="964">
    <w:name w:val="Body Text Indent 3"/>
    <w:basedOn w:val="790"/>
    <w:link w:val="1059"/>
    <w:pPr>
      <w:ind w:left="283"/>
      <w:spacing w:after="120"/>
    </w:pPr>
    <w:rPr>
      <w:sz w:val="16"/>
      <w:szCs w:val="16"/>
    </w:rPr>
  </w:style>
  <w:style w:type="paragraph" w:styleId="965">
    <w:name w:val="Body Text 2"/>
    <w:basedOn w:val="790"/>
    <w:pPr>
      <w:spacing w:after="120" w:line="480" w:lineRule="auto"/>
    </w:pPr>
  </w:style>
  <w:style w:type="paragraph" w:styleId="966">
    <w:name w:val="Block Text"/>
    <w:basedOn w:val="790"/>
    <w:pPr>
      <w:ind w:left="-567" w:right="-766"/>
      <w:jc w:val="center"/>
    </w:pPr>
    <w:rPr>
      <w:b/>
      <w:bCs/>
      <w:sz w:val="24"/>
      <w:szCs w:val="20"/>
    </w:rPr>
  </w:style>
  <w:style w:type="paragraph" w:styleId="967" w:customStyle="1">
    <w:name w:val="Подпункт"/>
    <w:basedOn w:val="790"/>
    <w:link w:val="1023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68" w:customStyle="1">
    <w:name w:val="Пункт2"/>
    <w:basedOn w:val="790"/>
    <w:link w:val="1049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69">
    <w:name w:val="page number"/>
    <w:basedOn w:val="800"/>
  </w:style>
  <w:style w:type="paragraph" w:styleId="970">
    <w:name w:val="toc 1"/>
    <w:basedOn w:val="790"/>
    <w:next w:val="790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71">
    <w:name w:val="toc 3"/>
    <w:basedOn w:val="790"/>
    <w:next w:val="790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character" w:styleId="972">
    <w:name w:val="Hyperlink"/>
    <w:uiPriority w:val="99"/>
    <w:rPr>
      <w:color w:val="0000ff"/>
      <w:u w:val="single"/>
    </w:rPr>
  </w:style>
  <w:style w:type="paragraph" w:styleId="973" w:customStyle="1">
    <w:name w:val="Раздел регламента"/>
    <w:basedOn w:val="790"/>
  </w:style>
  <w:style w:type="paragraph" w:styleId="974" w:customStyle="1">
    <w:name w:val="Приложение к регламенту"/>
    <w:basedOn w:val="790"/>
    <w:pPr>
      <w:jc w:val="right"/>
    </w:pPr>
  </w:style>
  <w:style w:type="paragraph" w:styleId="975">
    <w:name w:val="toc 2"/>
    <w:basedOn w:val="790"/>
    <w:next w:val="790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76">
    <w:name w:val="Balloon Text"/>
    <w:basedOn w:val="790"/>
    <w:semiHidden/>
    <w:rPr>
      <w:rFonts w:ascii="Tahoma" w:hAnsi="Tahoma" w:cs="Tahoma"/>
      <w:sz w:val="16"/>
      <w:szCs w:val="16"/>
    </w:rPr>
  </w:style>
  <w:style w:type="character" w:styleId="977">
    <w:name w:val="annotation reference"/>
    <w:uiPriority w:val="99"/>
    <w:semiHidden/>
    <w:rPr>
      <w:sz w:val="16"/>
      <w:szCs w:val="16"/>
    </w:rPr>
  </w:style>
  <w:style w:type="paragraph" w:styleId="978">
    <w:name w:val="annotation text"/>
    <w:basedOn w:val="790"/>
    <w:link w:val="1043"/>
    <w:uiPriority w:val="99"/>
    <w:rPr>
      <w:sz w:val="20"/>
      <w:szCs w:val="20"/>
    </w:rPr>
  </w:style>
  <w:style w:type="paragraph" w:styleId="979">
    <w:name w:val="annotation subject"/>
    <w:basedOn w:val="978"/>
    <w:next w:val="978"/>
    <w:semiHidden/>
    <w:rPr>
      <w:b/>
      <w:bCs/>
    </w:rPr>
  </w:style>
  <w:style w:type="paragraph" w:styleId="980" w:customStyle="1">
    <w:name w:val="Обычный (веб)1"/>
    <w:basedOn w:val="790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81">
    <w:name w:val="toc 9"/>
    <w:basedOn w:val="790"/>
    <w:next w:val="790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82">
    <w:name w:val="toc 5"/>
    <w:basedOn w:val="790"/>
    <w:next w:val="790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83">
    <w:name w:val="toc 4"/>
    <w:basedOn w:val="790"/>
    <w:next w:val="790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paragraph" w:styleId="984" w:customStyle="1">
    <w:name w:val="Раздел положения 2"/>
    <w:basedOn w:val="790"/>
    <w:pPr>
      <w:jc w:val="both"/>
      <w:pageBreakBefore/>
      <w:outlineLvl w:val="0"/>
    </w:pPr>
    <w:rPr>
      <w:b/>
    </w:rPr>
  </w:style>
  <w:style w:type="character" w:styleId="985">
    <w:name w:val="Strong"/>
    <w:qFormat/>
    <w:rPr>
      <w:b/>
      <w:bCs/>
    </w:rPr>
  </w:style>
  <w:style w:type="character" w:styleId="986" w:customStyle="1">
    <w:name w:val="Заголовок 6 Знак"/>
    <w:link w:val="796"/>
    <w:uiPriority w:val="9"/>
    <w:rPr>
      <w:rFonts w:ascii="Cambria" w:hAnsi="Cambria"/>
      <w:i/>
      <w:iCs/>
      <w:color w:val="243f60"/>
    </w:rPr>
  </w:style>
  <w:style w:type="character" w:styleId="987" w:customStyle="1">
    <w:name w:val="Заголовок 7 Знак"/>
    <w:link w:val="797"/>
    <w:uiPriority w:val="9"/>
    <w:rPr>
      <w:rFonts w:ascii="Cambria" w:hAnsi="Cambria"/>
      <w:i/>
      <w:iCs/>
      <w:color w:val="404040"/>
    </w:rPr>
  </w:style>
  <w:style w:type="character" w:styleId="988" w:customStyle="1">
    <w:name w:val="Заголовок 8 Знак"/>
    <w:link w:val="798"/>
    <w:uiPriority w:val="9"/>
    <w:rPr>
      <w:rFonts w:ascii="Cambria" w:hAnsi="Cambria"/>
      <w:color w:val="4f81bd"/>
    </w:rPr>
  </w:style>
  <w:style w:type="character" w:styleId="989" w:customStyle="1">
    <w:name w:val="Заголовок 1 Знак"/>
    <w:link w:val="791"/>
    <w:rPr>
      <w:rFonts w:eastAsia="Calibri"/>
      <w:b/>
      <w:sz w:val="28"/>
      <w:szCs w:val="28"/>
    </w:rPr>
  </w:style>
  <w:style w:type="paragraph" w:styleId="990" w:customStyle="1">
    <w:name w:val="Знак Знак Знак Знак Знак Знак Знак Знак Знак"/>
    <w:basedOn w:val="79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91" w:customStyle="1">
    <w:name w:val="Заголовок 2 Знак"/>
    <w:link w:val="792"/>
    <w:rPr>
      <w:rFonts w:eastAsia="Calibri"/>
      <w:b/>
      <w:bCs/>
      <w:sz w:val="24"/>
      <w:szCs w:val="24"/>
    </w:rPr>
  </w:style>
  <w:style w:type="character" w:styleId="992" w:customStyle="1">
    <w:name w:val="Заголовок 3 Знак"/>
    <w:link w:val="793"/>
    <w:rPr>
      <w:rFonts w:eastAsia="Calibri"/>
      <w:b/>
      <w:sz w:val="24"/>
      <w:szCs w:val="24"/>
    </w:rPr>
  </w:style>
  <w:style w:type="character" w:styleId="993" w:customStyle="1">
    <w:name w:val="Заголовок 4 Знак"/>
    <w:link w:val="794"/>
    <w:rPr>
      <w:rFonts w:eastAsia="Calibri"/>
      <w:b/>
      <w:bCs/>
      <w:sz w:val="24"/>
      <w:szCs w:val="24"/>
    </w:rPr>
  </w:style>
  <w:style w:type="character" w:styleId="994" w:customStyle="1">
    <w:name w:val="Заголовок 5 Знак"/>
    <w:link w:val="795"/>
    <w:uiPriority w:val="9"/>
    <w:rPr>
      <w:b/>
      <w:bCs/>
      <w:i/>
      <w:iCs/>
      <w:sz w:val="26"/>
      <w:szCs w:val="26"/>
    </w:rPr>
  </w:style>
  <w:style w:type="character" w:styleId="995" w:customStyle="1">
    <w:name w:val="Заголовок 9 Знак"/>
    <w:link w:val="799"/>
    <w:uiPriority w:val="9"/>
    <w:rPr>
      <w:rFonts w:ascii="Arial" w:hAnsi="Arial" w:cs="Arial"/>
      <w:sz w:val="22"/>
      <w:szCs w:val="22"/>
    </w:rPr>
  </w:style>
  <w:style w:type="paragraph" w:styleId="996">
    <w:name w:val="No Spacing"/>
    <w:basedOn w:val="790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97">
    <w:name w:val="Caption"/>
    <w:basedOn w:val="790"/>
    <w:next w:val="790"/>
    <w:link w:val="770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98" w:customStyle="1">
    <w:name w:val="Название Знак"/>
    <w:link w:val="956"/>
    <w:uiPriority w:val="10"/>
    <w:rPr>
      <w:sz w:val="28"/>
    </w:rPr>
  </w:style>
  <w:style w:type="paragraph" w:styleId="999">
    <w:name w:val="Subtitle"/>
    <w:basedOn w:val="790"/>
    <w:next w:val="790"/>
    <w:link w:val="1000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00" w:customStyle="1">
    <w:name w:val="Подзаголовок Знак"/>
    <w:link w:val="999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01">
    <w:name w:val="Emphasis"/>
    <w:uiPriority w:val="20"/>
    <w:qFormat/>
    <w:rPr>
      <w:i/>
      <w:iCs/>
    </w:rPr>
  </w:style>
  <w:style w:type="paragraph" w:styleId="1002">
    <w:name w:val="List Paragraph"/>
    <w:basedOn w:val="790"/>
    <w:link w:val="1032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03">
    <w:name w:val="Quote"/>
    <w:basedOn w:val="790"/>
    <w:next w:val="790"/>
    <w:link w:val="1004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04" w:customStyle="1">
    <w:name w:val="Цитата 2 Знак"/>
    <w:link w:val="1003"/>
    <w:uiPriority w:val="29"/>
    <w:rPr>
      <w:rFonts w:ascii="Calibri" w:hAnsi="Calibri" w:eastAsia="Calibri"/>
      <w:i/>
      <w:iCs/>
      <w:color w:val="000000"/>
    </w:rPr>
  </w:style>
  <w:style w:type="paragraph" w:styleId="1005">
    <w:name w:val="Intense Quote"/>
    <w:basedOn w:val="790"/>
    <w:next w:val="790"/>
    <w:link w:val="1006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06" w:customStyle="1">
    <w:name w:val="Выделенная цитата Знак"/>
    <w:link w:val="1005"/>
    <w:uiPriority w:val="30"/>
    <w:rPr>
      <w:rFonts w:ascii="Calibri" w:hAnsi="Calibri" w:eastAsia="Calibri"/>
      <w:b/>
      <w:bCs/>
      <w:i/>
      <w:iCs/>
      <w:color w:val="4f81bd"/>
    </w:rPr>
  </w:style>
  <w:style w:type="character" w:styleId="1007">
    <w:name w:val="Subtle Emphasis"/>
    <w:uiPriority w:val="19"/>
    <w:qFormat/>
    <w:rPr>
      <w:i/>
      <w:iCs/>
      <w:color w:val="808080"/>
    </w:rPr>
  </w:style>
  <w:style w:type="character" w:styleId="1008">
    <w:name w:val="Intense Emphasis"/>
    <w:uiPriority w:val="21"/>
    <w:qFormat/>
    <w:rPr>
      <w:b/>
      <w:bCs/>
      <w:i/>
      <w:iCs/>
      <w:color w:val="4f81bd"/>
    </w:rPr>
  </w:style>
  <w:style w:type="character" w:styleId="1009">
    <w:name w:val="Subtle Reference"/>
    <w:uiPriority w:val="31"/>
    <w:qFormat/>
    <w:rPr>
      <w:smallCaps/>
      <w:color w:val="c0504d"/>
      <w:u w:val="single"/>
    </w:rPr>
  </w:style>
  <w:style w:type="character" w:styleId="101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11">
    <w:name w:val="Book Title"/>
    <w:uiPriority w:val="33"/>
    <w:qFormat/>
    <w:rPr>
      <w:b/>
      <w:bCs/>
      <w:smallCaps/>
      <w:spacing w:val="5"/>
    </w:rPr>
  </w:style>
  <w:style w:type="paragraph" w:styleId="1012">
    <w:name w:val="TOC Heading"/>
    <w:basedOn w:val="791"/>
    <w:next w:val="790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13">
    <w:name w:val="E-mail Signature"/>
    <w:basedOn w:val="790"/>
    <w:link w:val="1014"/>
    <w:uiPriority w:val="99"/>
    <w:unhideWhenUsed/>
    <w:rPr>
      <w:rFonts w:eastAsia="Calibri"/>
      <w:sz w:val="24"/>
      <w:szCs w:val="24"/>
    </w:rPr>
  </w:style>
  <w:style w:type="character" w:styleId="1014" w:customStyle="1">
    <w:name w:val="Электронная подпись Знак"/>
    <w:link w:val="1013"/>
    <w:uiPriority w:val="99"/>
    <w:rPr>
      <w:rFonts w:eastAsia="Calibri"/>
      <w:sz w:val="24"/>
      <w:szCs w:val="24"/>
    </w:rPr>
  </w:style>
  <w:style w:type="paragraph" w:styleId="1015" w:customStyle="1">
    <w:name w:val="Знак"/>
    <w:basedOn w:val="7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6" w:customStyle="1">
    <w:name w:val="Нумерованный список ур3"/>
    <w:basedOn w:val="790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17" w:customStyle="1">
    <w:name w:val="Нумерованный список 1"/>
    <w:basedOn w:val="790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8" w:customStyle="1">
    <w:name w:val="Нумерованный список ур2"/>
    <w:basedOn w:val="790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9">
    <w:name w:val="Revision"/>
    <w:hidden/>
    <w:uiPriority w:val="99"/>
    <w:semiHidden/>
    <w:rPr>
      <w:rFonts w:eastAsia="Calibri"/>
      <w:sz w:val="24"/>
      <w:szCs w:val="24"/>
    </w:rPr>
  </w:style>
  <w:style w:type="paragraph" w:styleId="1020" w:customStyle="1">
    <w:name w:val="ConsPlusNormal"/>
    <w:link w:val="1061"/>
    <w:pPr>
      <w:ind w:firstLine="720"/>
      <w:widowControl w:val="off"/>
    </w:pPr>
    <w:rPr>
      <w:rFonts w:ascii="Arial" w:hAnsi="Arial" w:cs="Arial"/>
    </w:rPr>
  </w:style>
  <w:style w:type="paragraph" w:styleId="1021" w:customStyle="1">
    <w:name w:val="Знак Знак3 Знак Знак"/>
    <w:basedOn w:val="79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22" w:customStyle="1">
    <w:name w:val="Пункт"/>
    <w:basedOn w:val="790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23" w:customStyle="1">
    <w:name w:val="Подпункт Знак1"/>
    <w:link w:val="967"/>
    <w:rPr>
      <w:sz w:val="28"/>
    </w:rPr>
  </w:style>
  <w:style w:type="paragraph" w:styleId="1024" w:customStyle="1">
    <w:name w:val="Абзац списка1"/>
    <w:basedOn w:val="790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25" w:customStyle="1">
    <w:name w:val="Текст сноски Знак"/>
    <w:link w:val="951"/>
    <w:uiPriority w:val="99"/>
  </w:style>
  <w:style w:type="numbering" w:styleId="1026" w:customStyle="1">
    <w:name w:val="Стиль1"/>
    <w:uiPriority w:val="99"/>
    <w:pPr>
      <w:numPr>
        <w:ilvl w:val="0"/>
        <w:numId w:val="3"/>
      </w:numPr>
    </w:pPr>
  </w:style>
  <w:style w:type="paragraph" w:styleId="1027" w:customStyle="1">
    <w:name w:val="Таблица"/>
    <w:basedOn w:val="790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28" w:customStyle="1">
    <w:name w:val="Основной текст Знак"/>
    <w:link w:val="961"/>
    <w:rPr>
      <w:sz w:val="28"/>
      <w:szCs w:val="28"/>
    </w:rPr>
  </w:style>
  <w:style w:type="character" w:styleId="1029" w:customStyle="1">
    <w:name w:val="blk"/>
  </w:style>
  <w:style w:type="numbering" w:styleId="1030" w:customStyle="1">
    <w:name w:val="Стиль2"/>
    <w:uiPriority w:val="99"/>
    <w:pPr>
      <w:numPr>
        <w:ilvl w:val="0"/>
        <w:numId w:val="5"/>
      </w:numPr>
    </w:pPr>
  </w:style>
  <w:style w:type="paragraph" w:styleId="1031" w:customStyle="1">
    <w:name w:val="Таблица шапка"/>
    <w:basedOn w:val="790"/>
    <w:pPr>
      <w:ind w:left="57" w:right="57"/>
      <w:keepNext/>
      <w:spacing w:before="40" w:after="40"/>
    </w:pPr>
    <w:rPr>
      <w:sz w:val="22"/>
      <w:szCs w:val="26"/>
    </w:rPr>
  </w:style>
  <w:style w:type="character" w:styleId="1032" w:customStyle="1">
    <w:name w:val="Абзац списка Знак"/>
    <w:link w:val="1002"/>
    <w:uiPriority w:val="34"/>
    <w:rPr>
      <w:rFonts w:eastAsia="Calibri"/>
      <w:sz w:val="24"/>
      <w:szCs w:val="24"/>
    </w:rPr>
  </w:style>
  <w:style w:type="character" w:styleId="1033" w:customStyle="1">
    <w:name w:val="комментарий"/>
    <w:rPr>
      <w:b/>
      <w:i/>
      <w:shd w:val="clear" w:color="auto" w:fill="ffff99"/>
    </w:rPr>
  </w:style>
  <w:style w:type="paragraph" w:styleId="1034" w:customStyle="1">
    <w:name w:val="Подподпункт"/>
    <w:basedOn w:val="967"/>
    <w:link w:val="1035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35" w:customStyle="1">
    <w:name w:val="Подподпункт Знак"/>
    <w:link w:val="1034"/>
    <w:rPr>
      <w:sz w:val="26"/>
      <w:szCs w:val="26"/>
    </w:rPr>
  </w:style>
  <w:style w:type="paragraph" w:styleId="1036" w:customStyle="1">
    <w:name w:val="УРОВЕНЬ_(а)"/>
    <w:basedOn w:val="1002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37" w:customStyle="1">
    <w:name w:val="УРОВЕНЬ_-"/>
    <w:basedOn w:val="1002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38" w:customStyle="1">
    <w:name w:val="УРОВЕНЬ_Абзац_тип2"/>
    <w:basedOn w:val="1002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39" w:customStyle="1">
    <w:name w:val="УРОВЕНЬ_Абзац_тип3"/>
    <w:basedOn w:val="1002"/>
    <w:link w:val="1041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40" w:customStyle="1">
    <w:name w:val="УРОВЕНЬ_Подпись"/>
    <w:basedOn w:val="1002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41" w:customStyle="1">
    <w:name w:val="УРОВЕНЬ_Абзац_тип3 Знак"/>
    <w:link w:val="1039"/>
    <w:rPr>
      <w:rFonts w:eastAsia="Calibri"/>
      <w:sz w:val="26"/>
      <w:szCs w:val="28"/>
      <w:lang w:eastAsia="en-US"/>
    </w:rPr>
  </w:style>
  <w:style w:type="character" w:styleId="1042" w:customStyle="1">
    <w:name w:val="Верхний колонтитул Знак"/>
    <w:link w:val="957"/>
    <w:uiPriority w:val="99"/>
    <w:rPr>
      <w:sz w:val="24"/>
      <w:szCs w:val="24"/>
    </w:rPr>
  </w:style>
  <w:style w:type="character" w:styleId="1043" w:customStyle="1">
    <w:name w:val="Текст примечания Знак"/>
    <w:link w:val="978"/>
    <w:uiPriority w:val="99"/>
  </w:style>
  <w:style w:type="paragraph" w:styleId="1044" w:customStyle="1">
    <w:name w:val="Стиль Заголовок 1 + по ширине"/>
    <w:basedOn w:val="791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45">
    <w:name w:val="endnote text"/>
    <w:basedOn w:val="790"/>
    <w:link w:val="1046"/>
    <w:rPr>
      <w:sz w:val="20"/>
      <w:szCs w:val="20"/>
    </w:rPr>
  </w:style>
  <w:style w:type="character" w:styleId="1046" w:customStyle="1">
    <w:name w:val="Текст концевой сноски Знак"/>
    <w:basedOn w:val="800"/>
    <w:link w:val="1045"/>
  </w:style>
  <w:style w:type="character" w:styleId="1047">
    <w:name w:val="endnote reference"/>
    <w:basedOn w:val="800"/>
    <w:rPr>
      <w:vertAlign w:val="superscript"/>
    </w:rPr>
  </w:style>
  <w:style w:type="paragraph" w:styleId="1048" w:customStyle="1">
    <w:name w:val="Заголовок 2 КВВ"/>
    <w:basedOn w:val="790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49" w:customStyle="1">
    <w:name w:val="Пункт2 Знак"/>
    <w:link w:val="968"/>
    <w:rPr>
      <w:b/>
      <w:sz w:val="28"/>
    </w:rPr>
  </w:style>
  <w:style w:type="paragraph" w:styleId="1050" w:customStyle="1">
    <w:name w:val="Таблица текст"/>
    <w:basedOn w:val="790"/>
    <w:pPr>
      <w:ind w:left="57" w:right="57"/>
      <w:spacing w:before="40" w:after="40"/>
    </w:pPr>
    <w:rPr>
      <w:sz w:val="24"/>
      <w:szCs w:val="26"/>
    </w:rPr>
  </w:style>
  <w:style w:type="paragraph" w:styleId="1051">
    <w:name w:val="Normal (Web)"/>
    <w:basedOn w:val="790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52" w:customStyle="1">
    <w:name w:val="УРОВЕНЬ_1."/>
    <w:basedOn w:val="1002"/>
    <w:link w:val="1053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53" w:customStyle="1">
    <w:name w:val="УРОВЕНЬ_1. Знак"/>
    <w:link w:val="1052"/>
    <w:rPr>
      <w:rFonts w:eastAsia="Calibri"/>
      <w:caps/>
      <w:sz w:val="28"/>
      <w:szCs w:val="28"/>
      <w:lang w:eastAsia="en-US"/>
    </w:rPr>
  </w:style>
  <w:style w:type="table" w:styleId="1054" w:customStyle="1">
    <w:name w:val="Сетка таблицы1"/>
    <w:basedOn w:val="801"/>
    <w:next w:val="959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55">
    <w:name w:val="toc 6"/>
    <w:basedOn w:val="790"/>
    <w:next w:val="790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56">
    <w:name w:val="toc 7"/>
    <w:basedOn w:val="790"/>
    <w:next w:val="790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57">
    <w:name w:val="toc 8"/>
    <w:basedOn w:val="790"/>
    <w:next w:val="790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58" w:customStyle="1">
    <w:name w:val="Неразрешенное упоминание1"/>
    <w:basedOn w:val="800"/>
    <w:uiPriority w:val="99"/>
    <w:semiHidden/>
    <w:unhideWhenUsed/>
    <w:rPr>
      <w:color w:val="605e5c"/>
      <w:shd w:val="clear" w:color="auto" w:fill="e1dfdd"/>
    </w:rPr>
  </w:style>
  <w:style w:type="character" w:styleId="1059" w:customStyle="1">
    <w:name w:val="Основной текст с отступом 3 Знак"/>
    <w:link w:val="964"/>
    <w:rPr>
      <w:sz w:val="16"/>
      <w:szCs w:val="16"/>
    </w:rPr>
  </w:style>
  <w:style w:type="character" w:styleId="1060" w:customStyle="1">
    <w:name w:val="Основной текст (2)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1061" w:customStyle="1">
    <w:name w:val="ConsPlusNormal Знак"/>
    <w:link w:val="1020"/>
    <w:rPr>
      <w:rFonts w:ascii="Arial" w:hAnsi="Arial" w:cs="Arial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image" Target="media/image1.jpg"/><Relationship Id="rId14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FC050-504E-4384-93E0-5EF6A0FE5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lopatin_ga</cp:lastModifiedBy>
  <cp:revision>11</cp:revision>
  <dcterms:created xsi:type="dcterms:W3CDTF">2024-08-08T23:17:00Z</dcterms:created>
  <dcterms:modified xsi:type="dcterms:W3CDTF">2026-09-01T00:51:24Z</dcterms:modified>
</cp:coreProperties>
</file>